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lang w:bidi="ar"/>
        </w:rPr>
      </w:pPr>
    </w:p>
    <w:p>
      <w:pPr>
        <w:ind w:firstLine="0" w:firstLineChars="0"/>
        <w:rPr>
          <w:rFonts w:hint="eastAsia"/>
          <w:lang w:bidi="ar"/>
        </w:rPr>
      </w:pPr>
    </w:p>
    <w:p>
      <w:pPr>
        <w:ind w:firstLine="0" w:firstLineChars="0"/>
        <w:rPr>
          <w:lang w:bidi="ar"/>
        </w:rPr>
      </w:pPr>
    </w:p>
    <w:p>
      <w:pPr>
        <w:ind w:firstLine="0" w:firstLineChars="0"/>
        <w:rPr>
          <w:lang w:bidi="ar"/>
        </w:rPr>
      </w:pPr>
    </w:p>
    <w:p>
      <w:pPr>
        <w:ind w:firstLine="0" w:firstLineChars="0"/>
        <w:rPr>
          <w:lang w:bidi="ar"/>
        </w:rPr>
      </w:pPr>
    </w:p>
    <w:p>
      <w:pPr>
        <w:ind w:firstLine="0" w:firstLineChars="0"/>
        <w:jc w:val="center"/>
        <w:rPr>
          <w:rFonts w:ascii="黑体" w:hAnsi="黑体" w:eastAsia="黑体"/>
          <w:b/>
          <w:sz w:val="44"/>
          <w:lang w:bidi="ar"/>
        </w:rPr>
      </w:pPr>
      <w:r>
        <w:rPr>
          <w:rFonts w:hint="eastAsia" w:ascii="黑体" w:hAnsi="黑体" w:eastAsia="黑体"/>
          <w:b/>
          <w:sz w:val="44"/>
          <w:lang w:bidi="ar"/>
        </w:rPr>
        <w:t>营口市</w:t>
      </w:r>
      <w:r>
        <w:rPr>
          <w:rFonts w:ascii="黑体" w:hAnsi="黑体" w:eastAsia="黑体"/>
          <w:b/>
          <w:sz w:val="44"/>
          <w:lang w:bidi="ar"/>
        </w:rPr>
        <w:t>基础测绘</w:t>
      </w:r>
      <w:r>
        <w:rPr>
          <w:rFonts w:hint="eastAsia" w:ascii="黑体" w:hAnsi="黑体" w:eastAsia="黑体"/>
          <w:b/>
          <w:sz w:val="44"/>
          <w:lang w:bidi="ar"/>
        </w:rPr>
        <w:t>“十四五”规划</w:t>
      </w:r>
    </w:p>
    <w:p>
      <w:pPr>
        <w:ind w:firstLine="0" w:firstLineChars="0"/>
        <w:rPr>
          <w:rFonts w:hint="default" w:eastAsia="仿宋_GB2312"/>
          <w:sz w:val="36"/>
          <w:szCs w:val="32"/>
          <w:lang w:val="en-US" w:eastAsia="zh-CN" w:bidi="ar"/>
        </w:rPr>
      </w:pPr>
      <w:r>
        <w:rPr>
          <w:rFonts w:hint="eastAsia"/>
          <w:lang w:val="en-US" w:eastAsia="zh-CN" w:bidi="ar"/>
        </w:rPr>
        <w:t xml:space="preserve">                 </w:t>
      </w:r>
      <w:r>
        <w:rPr>
          <w:rFonts w:hint="eastAsia"/>
          <w:sz w:val="36"/>
          <w:szCs w:val="32"/>
          <w:lang w:val="en-US" w:eastAsia="zh-CN" w:bidi="ar"/>
        </w:rPr>
        <w:t xml:space="preserve"> （征求意见稿）</w:t>
      </w:r>
    </w:p>
    <w:p>
      <w:pPr>
        <w:ind w:firstLine="0" w:firstLineChars="0"/>
        <w:rPr>
          <w:lang w:bidi="ar"/>
        </w:rPr>
      </w:pPr>
    </w:p>
    <w:p>
      <w:pPr>
        <w:ind w:firstLine="0" w:firstLineChars="0"/>
        <w:rPr>
          <w:lang w:bidi="ar"/>
        </w:rPr>
      </w:pPr>
    </w:p>
    <w:p>
      <w:pPr>
        <w:ind w:firstLine="0" w:firstLineChars="0"/>
        <w:rPr>
          <w:lang w:bidi="ar"/>
        </w:rPr>
      </w:pPr>
    </w:p>
    <w:p>
      <w:pPr>
        <w:ind w:firstLine="0" w:firstLineChars="0"/>
        <w:rPr>
          <w:lang w:bidi="ar"/>
        </w:rPr>
      </w:pPr>
    </w:p>
    <w:p>
      <w:pPr>
        <w:ind w:firstLine="0" w:firstLineChars="0"/>
        <w:rPr>
          <w:lang w:bidi="ar"/>
        </w:rPr>
      </w:pPr>
    </w:p>
    <w:p>
      <w:pPr>
        <w:ind w:firstLine="0" w:firstLineChars="0"/>
        <w:rPr>
          <w:lang w:bidi="ar"/>
        </w:rPr>
      </w:pPr>
    </w:p>
    <w:p>
      <w:pPr>
        <w:ind w:firstLine="0" w:firstLineChars="0"/>
        <w:rPr>
          <w:rFonts w:hint="eastAsia"/>
          <w:lang w:bidi="ar"/>
        </w:rPr>
      </w:pPr>
    </w:p>
    <w:p>
      <w:pPr>
        <w:ind w:firstLine="0" w:firstLineChars="0"/>
        <w:rPr>
          <w:lang w:bidi="ar"/>
        </w:rPr>
      </w:pPr>
    </w:p>
    <w:p>
      <w:pPr>
        <w:ind w:firstLine="0" w:firstLineChars="0"/>
        <w:rPr>
          <w:lang w:bidi="ar"/>
        </w:rPr>
      </w:pPr>
    </w:p>
    <w:p>
      <w:pPr>
        <w:ind w:firstLine="0" w:firstLineChars="0"/>
        <w:rPr>
          <w:lang w:bidi="ar"/>
        </w:rPr>
      </w:pPr>
    </w:p>
    <w:p>
      <w:pPr>
        <w:ind w:firstLine="0" w:firstLineChars="0"/>
        <w:jc w:val="center"/>
        <w:rPr>
          <w:rFonts w:ascii="黑体" w:hAnsi="黑体" w:eastAsia="黑体"/>
          <w:szCs w:val="30"/>
        </w:rPr>
      </w:pPr>
      <w:r>
        <w:rPr>
          <w:rFonts w:hint="eastAsia" w:ascii="黑体" w:hAnsi="黑体" w:eastAsia="黑体"/>
          <w:szCs w:val="30"/>
          <w:lang w:bidi="ar"/>
        </w:rPr>
        <w:t>营口市自然资源局</w:t>
      </w:r>
    </w:p>
    <w:p>
      <w:pPr>
        <w:ind w:firstLine="0" w:firstLineChars="0"/>
        <w:jc w:val="center"/>
        <w:rPr>
          <w:rFonts w:ascii="黑体" w:hAnsi="黑体" w:eastAsia="黑体"/>
          <w:szCs w:val="30"/>
          <w:lang w:bidi="ar"/>
        </w:rPr>
      </w:pPr>
      <w:r>
        <w:rPr>
          <w:rFonts w:hint="eastAsia" w:ascii="黑体" w:hAnsi="黑体" w:eastAsia="黑体"/>
          <w:szCs w:val="30"/>
          <w:lang w:bidi="ar"/>
        </w:rPr>
        <w:t>二〇二一年十二月</w:t>
      </w:r>
    </w:p>
    <w:p>
      <w:pPr>
        <w:ind w:firstLine="0" w:firstLineChars="0"/>
        <w:jc w:val="center"/>
        <w:rPr>
          <w:rFonts w:ascii="黑体" w:hAnsi="黑体" w:eastAsia="黑体"/>
          <w:szCs w:val="30"/>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7"/>
        <w:tabs>
          <w:tab w:val="right" w:leader="dot" w:pos="8296"/>
        </w:tabs>
        <w:spacing w:before="312" w:beforeLines="100" w:after="312" w:afterLines="100"/>
        <w:jc w:val="center"/>
        <w:rPr>
          <w:rFonts w:cs="仿宋" w:asciiTheme="minorEastAsia" w:hAnsiTheme="minorEastAsia"/>
          <w:b/>
          <w:bCs/>
          <w:color w:val="000000"/>
          <w:kern w:val="0"/>
          <w:sz w:val="32"/>
          <w:szCs w:val="32"/>
          <w:lang w:bidi="ar"/>
        </w:rPr>
      </w:pPr>
      <w:r>
        <w:rPr>
          <w:rFonts w:hint="eastAsia" w:cs="仿宋" w:asciiTheme="minorEastAsia" w:hAnsiTheme="minorEastAsia"/>
          <w:b/>
          <w:bCs/>
          <w:color w:val="000000"/>
          <w:kern w:val="0"/>
          <w:sz w:val="32"/>
          <w:szCs w:val="32"/>
          <w:lang w:bidi="ar"/>
        </w:rPr>
        <w:t>目 录</w:t>
      </w:r>
    </w:p>
    <w:p>
      <w:pPr>
        <w:pStyle w:val="7"/>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color w:val="000000"/>
          <w:kern w:val="0"/>
          <w:szCs w:val="28"/>
          <w:lang w:bidi="ar"/>
        </w:rPr>
        <w:instrText xml:space="preserve"> TOC \o "1-2" \h \z \u </w:instrText>
      </w:r>
      <w:r>
        <w:rPr>
          <w:rFonts w:cs="仿宋" w:asciiTheme="minorEastAsia" w:hAnsiTheme="minorEastAsia"/>
          <w:color w:val="000000"/>
          <w:kern w:val="0"/>
          <w:szCs w:val="28"/>
          <w:lang w:bidi="ar"/>
        </w:rPr>
        <w:fldChar w:fldCharType="separate"/>
      </w: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_Toc31835 </w:instrText>
      </w:r>
      <w:r>
        <w:rPr>
          <w:rFonts w:cs="仿宋" w:asciiTheme="minorEastAsia" w:hAnsiTheme="minorEastAsia"/>
          <w:kern w:val="0"/>
          <w:szCs w:val="28"/>
          <w:lang w:bidi="ar"/>
        </w:rPr>
        <w:fldChar w:fldCharType="separate"/>
      </w:r>
      <w:r>
        <w:rPr>
          <w:rFonts w:hint="eastAsia" w:eastAsia="黑体"/>
          <w:i w:val="0"/>
          <w:lang w:bidi="ar"/>
        </w:rPr>
        <w:t xml:space="preserve">一、 </w:t>
      </w:r>
      <w:r>
        <w:rPr>
          <w:rFonts w:hint="eastAsia"/>
          <w:lang w:bidi="ar"/>
        </w:rPr>
        <w:t>“十三五”发展现状</w:t>
      </w:r>
      <w:r>
        <w:tab/>
      </w:r>
      <w:r>
        <w:fldChar w:fldCharType="begin"/>
      </w:r>
      <w:r>
        <w:instrText xml:space="preserve"> PAGEREF _Toc31835 \h </w:instrText>
      </w:r>
      <w:r>
        <w:fldChar w:fldCharType="separate"/>
      </w:r>
      <w:r>
        <w:t>1</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_Toc14585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（一） </w:t>
      </w:r>
      <w:r>
        <w:rPr>
          <w:rFonts w:hint="eastAsia"/>
          <w:lang w:bidi="ar"/>
        </w:rPr>
        <w:t>测绘管理体制机制不断健全，行政监管能力显著提升</w:t>
      </w:r>
      <w:r>
        <w:tab/>
      </w:r>
      <w:r>
        <w:fldChar w:fldCharType="begin"/>
      </w:r>
      <w:r>
        <w:instrText xml:space="preserve"> PAGEREF _Toc14585 \h </w:instrText>
      </w:r>
      <w:r>
        <w:fldChar w:fldCharType="separate"/>
      </w:r>
      <w:r>
        <w:t>1</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_Toc13198 </w:instrText>
      </w:r>
      <w:r>
        <w:rPr>
          <w:rFonts w:cs="仿宋" w:asciiTheme="minorEastAsia" w:hAnsiTheme="minorEastAsia"/>
          <w:kern w:val="0"/>
          <w:szCs w:val="28"/>
          <w:lang w:bidi="ar"/>
        </w:rPr>
        <w:fldChar w:fldCharType="separate"/>
      </w:r>
      <w:r>
        <w:rPr>
          <w:rFonts w:hint="eastAsia" w:ascii="楷体" w:hAnsi="楷体" w:eastAsia="楷体"/>
          <w:lang w:bidi="ar"/>
        </w:rPr>
        <w:t xml:space="preserve">（二） </w:t>
      </w:r>
      <w:r>
        <w:rPr>
          <w:lang w:bidi="ar"/>
        </w:rPr>
        <w:t>测绘基准尚未健全</w:t>
      </w:r>
      <w:r>
        <w:tab/>
      </w:r>
      <w:r>
        <w:fldChar w:fldCharType="begin"/>
      </w:r>
      <w:r>
        <w:instrText xml:space="preserve"> PAGEREF _Toc13198 \h </w:instrText>
      </w:r>
      <w:r>
        <w:fldChar w:fldCharType="separate"/>
      </w:r>
      <w:r>
        <w:t>2</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_Toc13935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（三） </w:t>
      </w:r>
      <w:r>
        <w:rPr>
          <w:lang w:bidi="ar"/>
        </w:rPr>
        <w:t>测绘服务领域和部门显著增多</w:t>
      </w:r>
      <w:r>
        <w:tab/>
      </w:r>
      <w:r>
        <w:fldChar w:fldCharType="begin"/>
      </w:r>
      <w:r>
        <w:instrText xml:space="preserve"> PAGEREF _Toc13935 \h </w:instrText>
      </w:r>
      <w:r>
        <w:fldChar w:fldCharType="separate"/>
      </w:r>
      <w:r>
        <w:t>2</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_Toc2589 </w:instrText>
      </w:r>
      <w:r>
        <w:rPr>
          <w:rFonts w:cs="仿宋" w:asciiTheme="minorEastAsia" w:hAnsiTheme="minorEastAsia"/>
          <w:kern w:val="0"/>
          <w:szCs w:val="28"/>
          <w:lang w:bidi="ar"/>
        </w:rPr>
        <w:fldChar w:fldCharType="separate"/>
      </w:r>
      <w:r>
        <w:rPr>
          <w:rFonts w:hint="eastAsia" w:ascii="楷体" w:hAnsi="楷体" w:eastAsia="楷体"/>
          <w:lang w:bidi="ar"/>
        </w:rPr>
        <w:t xml:space="preserve">（四） </w:t>
      </w:r>
      <w:r>
        <w:rPr>
          <w:lang w:bidi="ar"/>
        </w:rPr>
        <w:t>地理信息共享机制亟需改善</w:t>
      </w:r>
      <w:r>
        <w:tab/>
      </w:r>
      <w:r>
        <w:fldChar w:fldCharType="begin"/>
      </w:r>
      <w:r>
        <w:instrText xml:space="preserve"> PAGEREF _Toc2589 \h </w:instrText>
      </w:r>
      <w:r>
        <w:fldChar w:fldCharType="separate"/>
      </w:r>
      <w:r>
        <w:t>3</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_Toc7565 </w:instrText>
      </w:r>
      <w:r>
        <w:rPr>
          <w:rFonts w:cs="仿宋" w:asciiTheme="minorEastAsia" w:hAnsiTheme="minorEastAsia"/>
          <w:kern w:val="0"/>
          <w:szCs w:val="28"/>
          <w:lang w:bidi="ar"/>
        </w:rPr>
        <w:fldChar w:fldCharType="separate"/>
      </w:r>
      <w:r>
        <w:rPr>
          <w:rFonts w:hint="eastAsia" w:ascii="楷体" w:hAnsi="楷体" w:eastAsia="楷体"/>
          <w:lang w:bidi="ar"/>
        </w:rPr>
        <w:t xml:space="preserve">（五） </w:t>
      </w:r>
      <w:r>
        <w:rPr>
          <w:lang w:bidi="ar"/>
        </w:rPr>
        <w:t>基础测绘管理机制有待完善</w:t>
      </w:r>
      <w:r>
        <w:tab/>
      </w:r>
      <w:r>
        <w:fldChar w:fldCharType="begin"/>
      </w:r>
      <w:r>
        <w:instrText xml:space="preserve"> PAGEREF _Toc7565 \h </w:instrText>
      </w:r>
      <w:r>
        <w:fldChar w:fldCharType="separate"/>
      </w:r>
      <w:r>
        <w:t>3</w:t>
      </w:r>
      <w:r>
        <w:fldChar w:fldCharType="end"/>
      </w:r>
      <w:r>
        <w:rPr>
          <w:rFonts w:cs="仿宋" w:asciiTheme="minorEastAsia" w:hAnsiTheme="minorEastAsia"/>
          <w:color w:val="000000"/>
          <w:kern w:val="0"/>
          <w:szCs w:val="28"/>
          <w:lang w:bidi="ar"/>
        </w:rPr>
        <w:fldChar w:fldCharType="end"/>
      </w:r>
    </w:p>
    <w:p>
      <w:pPr>
        <w:pStyle w:val="7"/>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_Toc3458 </w:instrText>
      </w:r>
      <w:r>
        <w:rPr>
          <w:rFonts w:cs="仿宋" w:asciiTheme="minorEastAsia" w:hAnsiTheme="minorEastAsia"/>
          <w:kern w:val="0"/>
          <w:szCs w:val="28"/>
          <w:lang w:bidi="ar"/>
        </w:rPr>
        <w:fldChar w:fldCharType="separate"/>
      </w:r>
      <w:r>
        <w:rPr>
          <w:rFonts w:hint="eastAsia" w:eastAsia="黑体"/>
          <w:i w:val="0"/>
          <w:lang w:bidi="ar"/>
        </w:rPr>
        <w:t xml:space="preserve">二、 </w:t>
      </w:r>
      <w:r>
        <w:rPr>
          <w:rFonts w:hint="eastAsia"/>
          <w:lang w:bidi="ar"/>
        </w:rPr>
        <w:t>“十四五”期间面临的形势</w:t>
      </w:r>
      <w:r>
        <w:tab/>
      </w:r>
      <w:r>
        <w:fldChar w:fldCharType="begin"/>
      </w:r>
      <w:r>
        <w:instrText xml:space="preserve"> PAGEREF _Toc3458 \h </w:instrText>
      </w:r>
      <w:r>
        <w:fldChar w:fldCharType="separate"/>
      </w:r>
      <w:r>
        <w:t>3</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_Toc32202 </w:instrText>
      </w:r>
      <w:r>
        <w:rPr>
          <w:rFonts w:cs="仿宋" w:asciiTheme="minorEastAsia" w:hAnsiTheme="minorEastAsia"/>
          <w:kern w:val="0"/>
          <w:szCs w:val="28"/>
          <w:lang w:bidi="ar"/>
        </w:rPr>
        <w:fldChar w:fldCharType="separate"/>
      </w:r>
      <w:r>
        <w:rPr>
          <w:rFonts w:hint="eastAsia" w:ascii="楷体" w:hAnsi="楷体" w:eastAsia="楷体"/>
        </w:rPr>
        <w:t xml:space="preserve">（一） </w:t>
      </w:r>
      <w:r>
        <w:rPr>
          <w:rFonts w:hint="eastAsia"/>
          <w:lang w:bidi="ar"/>
        </w:rPr>
        <w:t>机构改革赋予测绘地理信息新使命</w:t>
      </w:r>
      <w:r>
        <w:tab/>
      </w:r>
      <w:r>
        <w:fldChar w:fldCharType="begin"/>
      </w:r>
      <w:r>
        <w:instrText xml:space="preserve"> PAGEREF _Toc32202 \h </w:instrText>
      </w:r>
      <w:r>
        <w:fldChar w:fldCharType="separate"/>
      </w:r>
      <w:r>
        <w:t>4</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_Toc28588 </w:instrText>
      </w:r>
      <w:r>
        <w:rPr>
          <w:rFonts w:cs="仿宋" w:asciiTheme="minorEastAsia" w:hAnsiTheme="minorEastAsia"/>
          <w:kern w:val="0"/>
          <w:szCs w:val="28"/>
          <w:lang w:bidi="ar"/>
        </w:rPr>
        <w:fldChar w:fldCharType="separate"/>
      </w:r>
      <w:r>
        <w:rPr>
          <w:rFonts w:hint="eastAsia" w:ascii="楷体" w:hAnsi="楷体" w:eastAsia="楷体"/>
          <w:lang w:bidi="ar"/>
        </w:rPr>
        <w:t xml:space="preserve">（二） </w:t>
      </w:r>
      <w:r>
        <w:rPr>
          <w:rFonts w:hint="eastAsia"/>
          <w:lang w:bidi="ar"/>
        </w:rPr>
        <w:t>“两核两带”和数字营口建设对基础测绘提出更高要求</w:t>
      </w:r>
      <w:r>
        <w:tab/>
      </w:r>
      <w:r>
        <w:fldChar w:fldCharType="begin"/>
      </w:r>
      <w:r>
        <w:instrText xml:space="preserve"> PAGEREF _Toc28588 \h </w:instrText>
      </w:r>
      <w:r>
        <w:fldChar w:fldCharType="separate"/>
      </w:r>
      <w:r>
        <w:t>4</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_Toc2118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（三） </w:t>
      </w:r>
      <w:r>
        <w:rPr>
          <w:rFonts w:hint="eastAsia"/>
          <w:lang w:bidi="ar"/>
        </w:rPr>
        <w:t>测绘技术现代化对基础测绘提供新驱动</w:t>
      </w:r>
      <w:r>
        <w:tab/>
      </w:r>
      <w:r>
        <w:fldChar w:fldCharType="begin"/>
      </w:r>
      <w:r>
        <w:instrText xml:space="preserve"> PAGEREF _Toc2118 \h </w:instrText>
      </w:r>
      <w:r>
        <w:fldChar w:fldCharType="separate"/>
      </w:r>
      <w:r>
        <w:t>5</w:t>
      </w:r>
      <w:r>
        <w:fldChar w:fldCharType="end"/>
      </w:r>
      <w:r>
        <w:rPr>
          <w:rFonts w:cs="仿宋" w:asciiTheme="minorEastAsia" w:hAnsiTheme="minorEastAsia"/>
          <w:color w:val="000000"/>
          <w:kern w:val="0"/>
          <w:szCs w:val="28"/>
          <w:lang w:bidi="ar"/>
        </w:rPr>
        <w:fldChar w:fldCharType="end"/>
      </w:r>
    </w:p>
    <w:p>
      <w:pPr>
        <w:pStyle w:val="7"/>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_Toc4202 </w:instrText>
      </w:r>
      <w:r>
        <w:rPr>
          <w:rFonts w:cs="仿宋" w:asciiTheme="minorEastAsia" w:hAnsiTheme="minorEastAsia"/>
          <w:kern w:val="0"/>
          <w:szCs w:val="28"/>
          <w:lang w:bidi="ar"/>
        </w:rPr>
        <w:fldChar w:fldCharType="separate"/>
      </w:r>
      <w:r>
        <w:rPr>
          <w:rFonts w:hint="eastAsia" w:eastAsia="黑体"/>
          <w:i w:val="0"/>
          <w:lang w:bidi="ar"/>
        </w:rPr>
        <w:t xml:space="preserve">三、 </w:t>
      </w:r>
      <w:r>
        <w:rPr>
          <w:lang w:bidi="ar"/>
        </w:rPr>
        <w:t>指导思想和规划目标</w:t>
      </w:r>
      <w:r>
        <w:tab/>
      </w:r>
      <w:r>
        <w:fldChar w:fldCharType="begin"/>
      </w:r>
      <w:r>
        <w:instrText xml:space="preserve"> PAGEREF _Toc4202 \h </w:instrText>
      </w:r>
      <w:r>
        <w:fldChar w:fldCharType="separate"/>
      </w:r>
      <w:r>
        <w:t>5</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_Toc27673 </w:instrText>
      </w:r>
      <w:r>
        <w:rPr>
          <w:rFonts w:cs="仿宋" w:asciiTheme="minorEastAsia" w:hAnsiTheme="minorEastAsia"/>
          <w:kern w:val="0"/>
          <w:szCs w:val="28"/>
          <w:lang w:bidi="ar"/>
        </w:rPr>
        <w:fldChar w:fldCharType="separate"/>
      </w:r>
      <w:r>
        <w:rPr>
          <w:rFonts w:hint="eastAsia" w:ascii="楷体" w:hAnsi="楷体" w:eastAsia="楷体"/>
        </w:rPr>
        <w:t xml:space="preserve">（一） </w:t>
      </w:r>
      <w:r>
        <w:rPr>
          <w:rFonts w:hint="eastAsia"/>
          <w:lang w:bidi="ar"/>
        </w:rPr>
        <w:t>指导思想</w:t>
      </w:r>
      <w:r>
        <w:tab/>
      </w:r>
      <w:r>
        <w:fldChar w:fldCharType="begin"/>
      </w:r>
      <w:r>
        <w:instrText xml:space="preserve"> PAGEREF _Toc27673 \h </w:instrText>
      </w:r>
      <w:r>
        <w:fldChar w:fldCharType="separate"/>
      </w:r>
      <w:r>
        <w:t>5</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_Toc32491 </w:instrText>
      </w:r>
      <w:r>
        <w:rPr>
          <w:rFonts w:cs="仿宋" w:asciiTheme="minorEastAsia" w:hAnsiTheme="minorEastAsia"/>
          <w:kern w:val="0"/>
          <w:szCs w:val="28"/>
          <w:lang w:bidi="ar"/>
        </w:rPr>
        <w:fldChar w:fldCharType="separate"/>
      </w:r>
      <w:r>
        <w:rPr>
          <w:rFonts w:hint="eastAsia" w:ascii="楷体" w:hAnsi="楷体" w:eastAsia="楷体"/>
          <w:lang w:bidi="ar"/>
        </w:rPr>
        <w:t xml:space="preserve">（二） </w:t>
      </w:r>
      <w:r>
        <w:rPr>
          <w:rFonts w:hint="eastAsia"/>
          <w:lang w:bidi="ar"/>
        </w:rPr>
        <w:t>基本原则</w:t>
      </w:r>
      <w:r>
        <w:tab/>
      </w:r>
      <w:r>
        <w:fldChar w:fldCharType="begin"/>
      </w:r>
      <w:r>
        <w:instrText xml:space="preserve"> PAGEREF _Toc32491 \h </w:instrText>
      </w:r>
      <w:r>
        <w:fldChar w:fldCharType="separate"/>
      </w:r>
      <w:r>
        <w:t>6</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_Toc3655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（三） </w:t>
      </w:r>
      <w:r>
        <w:rPr>
          <w:rFonts w:hint="eastAsia"/>
          <w:lang w:bidi="ar"/>
        </w:rPr>
        <w:t>规划目标</w:t>
      </w:r>
      <w:r>
        <w:tab/>
      </w:r>
      <w:r>
        <w:fldChar w:fldCharType="begin"/>
      </w:r>
      <w:r>
        <w:instrText xml:space="preserve"> PAGEREF _Toc3655 \h </w:instrText>
      </w:r>
      <w:r>
        <w:fldChar w:fldCharType="separate"/>
      </w:r>
      <w:r>
        <w:t>7</w:t>
      </w:r>
      <w:r>
        <w:fldChar w:fldCharType="end"/>
      </w:r>
      <w:r>
        <w:rPr>
          <w:rFonts w:cs="仿宋" w:asciiTheme="minorEastAsia" w:hAnsiTheme="minorEastAsia"/>
          <w:color w:val="000000"/>
          <w:kern w:val="0"/>
          <w:szCs w:val="28"/>
          <w:lang w:bidi="ar"/>
        </w:rPr>
        <w:fldChar w:fldCharType="end"/>
      </w:r>
    </w:p>
    <w:p>
      <w:pPr>
        <w:pStyle w:val="7"/>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_Toc7278 </w:instrText>
      </w:r>
      <w:r>
        <w:rPr>
          <w:rFonts w:cs="仿宋" w:asciiTheme="minorEastAsia" w:hAnsiTheme="minorEastAsia"/>
          <w:kern w:val="0"/>
          <w:szCs w:val="28"/>
          <w:lang w:bidi="ar"/>
        </w:rPr>
        <w:fldChar w:fldCharType="separate"/>
      </w:r>
      <w:r>
        <w:rPr>
          <w:rFonts w:hint="eastAsia" w:eastAsia="黑体"/>
          <w:i w:val="0"/>
        </w:rPr>
        <w:t xml:space="preserve">四、 </w:t>
      </w:r>
      <w:r>
        <w:rPr>
          <w:lang w:bidi="ar"/>
        </w:rPr>
        <w:t>主要任务和重点工程</w:t>
      </w:r>
      <w:r>
        <w:tab/>
      </w:r>
      <w:r>
        <w:fldChar w:fldCharType="begin"/>
      </w:r>
      <w:r>
        <w:instrText xml:space="preserve"> PAGEREF _Toc7278 \h </w:instrText>
      </w:r>
      <w:r>
        <w:fldChar w:fldCharType="separate"/>
      </w:r>
      <w:r>
        <w:t>8</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_Toc16948 </w:instrText>
      </w:r>
      <w:r>
        <w:rPr>
          <w:rFonts w:cs="仿宋" w:asciiTheme="minorEastAsia" w:hAnsiTheme="minorEastAsia"/>
          <w:kern w:val="0"/>
          <w:szCs w:val="28"/>
          <w:lang w:bidi="ar"/>
        </w:rPr>
        <w:fldChar w:fldCharType="separate"/>
      </w:r>
      <w:r>
        <w:rPr>
          <w:rFonts w:hint="eastAsia" w:ascii="楷体" w:hAnsi="楷体" w:eastAsia="楷体"/>
        </w:rPr>
        <w:t xml:space="preserve">（一） </w:t>
      </w:r>
      <w:r>
        <w:rPr>
          <w:rFonts w:hint="eastAsia"/>
        </w:rPr>
        <w:t>建立统一的现代测绘基准服务体系</w:t>
      </w:r>
      <w:r>
        <w:tab/>
      </w:r>
      <w:r>
        <w:fldChar w:fldCharType="begin"/>
      </w:r>
      <w:r>
        <w:instrText xml:space="preserve"> PAGEREF _Toc16948 \h </w:instrText>
      </w:r>
      <w:r>
        <w:fldChar w:fldCharType="separate"/>
      </w:r>
      <w:r>
        <w:t>8</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_Toc4450 </w:instrText>
      </w:r>
      <w:r>
        <w:rPr>
          <w:rFonts w:cs="仿宋" w:asciiTheme="minorEastAsia" w:hAnsiTheme="minorEastAsia"/>
          <w:kern w:val="0"/>
          <w:szCs w:val="28"/>
          <w:lang w:bidi="ar"/>
        </w:rPr>
        <w:fldChar w:fldCharType="separate"/>
      </w:r>
      <w:r>
        <w:rPr>
          <w:rFonts w:hint="eastAsia" w:ascii="楷体" w:hAnsi="楷体" w:eastAsia="楷体"/>
          <w:lang w:bidi="ar"/>
        </w:rPr>
        <w:t xml:space="preserve">（二） </w:t>
      </w:r>
      <w:r>
        <w:rPr>
          <w:rFonts w:hint="eastAsia"/>
          <w:lang w:eastAsia="zh-CN" w:bidi="ar"/>
        </w:rPr>
        <w:t>完成多测合一建立多测合一管理系统</w:t>
      </w:r>
      <w:r>
        <w:tab/>
      </w:r>
      <w:r>
        <w:fldChar w:fldCharType="begin"/>
      </w:r>
      <w:r>
        <w:instrText xml:space="preserve"> PAGEREF _Toc4450 \h </w:instrText>
      </w:r>
      <w:r>
        <w:fldChar w:fldCharType="separate"/>
      </w:r>
      <w:r>
        <w:t>9</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_Toc3782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（三） </w:t>
      </w:r>
      <w:r>
        <w:rPr>
          <w:rFonts w:hint="eastAsia"/>
          <w:lang w:bidi="ar"/>
        </w:rPr>
        <w:t>推进城区遥感影像统筹获取与处理</w:t>
      </w:r>
      <w:r>
        <w:tab/>
      </w:r>
      <w:r>
        <w:fldChar w:fldCharType="begin"/>
      </w:r>
      <w:r>
        <w:instrText xml:space="preserve"> PAGEREF _Toc3782 \h </w:instrText>
      </w:r>
      <w:r>
        <w:fldChar w:fldCharType="separate"/>
      </w:r>
      <w:r>
        <w:t>9</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_Toc4221 </w:instrText>
      </w:r>
      <w:r>
        <w:rPr>
          <w:rFonts w:cs="仿宋" w:asciiTheme="minorEastAsia" w:hAnsiTheme="minorEastAsia"/>
          <w:kern w:val="0"/>
          <w:szCs w:val="28"/>
          <w:lang w:bidi="ar"/>
        </w:rPr>
        <w:fldChar w:fldCharType="separate"/>
      </w:r>
      <w:r>
        <w:rPr>
          <w:rFonts w:hint="eastAsia" w:ascii="楷体" w:hAnsi="楷体" w:eastAsia="楷体"/>
        </w:rPr>
        <w:t xml:space="preserve">（四） </w:t>
      </w:r>
      <w:r>
        <w:rPr>
          <w:rFonts w:hint="eastAsia"/>
        </w:rPr>
        <w:t>进一步完善建成区、规划区多尺度地理信息覆盖和更新工作</w:t>
      </w:r>
      <w:r>
        <w:tab/>
      </w:r>
      <w:r>
        <w:fldChar w:fldCharType="begin"/>
      </w:r>
      <w:r>
        <w:instrText xml:space="preserve"> PAGEREF _Toc4221 \h </w:instrText>
      </w:r>
      <w:r>
        <w:fldChar w:fldCharType="separate"/>
      </w:r>
      <w:r>
        <w:t>10</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_Toc11680 </w:instrText>
      </w:r>
      <w:r>
        <w:rPr>
          <w:rFonts w:cs="仿宋" w:asciiTheme="minorEastAsia" w:hAnsiTheme="minorEastAsia"/>
          <w:kern w:val="0"/>
          <w:szCs w:val="28"/>
          <w:lang w:bidi="ar"/>
        </w:rPr>
        <w:fldChar w:fldCharType="separate"/>
      </w:r>
      <w:r>
        <w:rPr>
          <w:rFonts w:hint="eastAsia" w:ascii="楷体" w:hAnsi="楷体" w:eastAsia="楷体" w:cs="黑体"/>
          <w:lang w:bidi="ar"/>
        </w:rPr>
        <w:t xml:space="preserve">（五） </w:t>
      </w:r>
      <w:r>
        <w:rPr>
          <w:rFonts w:hint="eastAsia"/>
          <w:lang w:bidi="ar"/>
        </w:rPr>
        <w:t>加快新型基础测绘地理场景产品的构建</w:t>
      </w:r>
      <w:r>
        <w:tab/>
      </w:r>
      <w:r>
        <w:fldChar w:fldCharType="begin"/>
      </w:r>
      <w:r>
        <w:instrText xml:space="preserve"> PAGEREF _Toc11680 \h </w:instrText>
      </w:r>
      <w:r>
        <w:fldChar w:fldCharType="separate"/>
      </w:r>
      <w:r>
        <w:t>10</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_Toc32660 </w:instrText>
      </w:r>
      <w:r>
        <w:rPr>
          <w:rFonts w:cs="仿宋" w:asciiTheme="minorEastAsia" w:hAnsiTheme="minorEastAsia"/>
          <w:kern w:val="0"/>
          <w:szCs w:val="28"/>
          <w:lang w:bidi="ar"/>
        </w:rPr>
        <w:fldChar w:fldCharType="separate"/>
      </w:r>
      <w:r>
        <w:rPr>
          <w:rFonts w:hint="eastAsia" w:ascii="楷体" w:hAnsi="楷体" w:eastAsia="楷体" w:cs="黑体"/>
          <w:lang w:bidi="ar"/>
        </w:rPr>
        <w:t xml:space="preserve">（六） </w:t>
      </w:r>
      <w:r>
        <w:rPr>
          <w:rFonts w:hint="eastAsia"/>
          <w:lang w:eastAsia="zh-CN" w:bidi="ar"/>
        </w:rPr>
        <w:t>增加测绘资料档案管理部门</w:t>
      </w:r>
      <w:r>
        <w:tab/>
      </w:r>
      <w:r>
        <w:fldChar w:fldCharType="begin"/>
      </w:r>
      <w:r>
        <w:instrText xml:space="preserve"> PAGEREF _Toc32660 \h </w:instrText>
      </w:r>
      <w:r>
        <w:fldChar w:fldCharType="separate"/>
      </w:r>
      <w:r>
        <w:t>11</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_Toc7441 </w:instrText>
      </w:r>
      <w:r>
        <w:rPr>
          <w:rFonts w:cs="仿宋" w:asciiTheme="minorEastAsia" w:hAnsiTheme="minorEastAsia"/>
          <w:kern w:val="0"/>
          <w:szCs w:val="28"/>
          <w:lang w:bidi="ar"/>
        </w:rPr>
        <w:fldChar w:fldCharType="separate"/>
      </w:r>
      <w:r>
        <w:rPr>
          <w:rFonts w:hint="eastAsia" w:ascii="楷体" w:hAnsi="楷体" w:eastAsia="楷体"/>
        </w:rPr>
        <w:t xml:space="preserve">（七） </w:t>
      </w:r>
      <w:r>
        <w:rPr>
          <w:rFonts w:hint="eastAsia"/>
          <w:lang w:bidi="ar"/>
        </w:rPr>
        <w:t>提供高效的自然资源管理服务支撑和成果共享</w:t>
      </w:r>
      <w:r>
        <w:tab/>
      </w:r>
      <w:r>
        <w:fldChar w:fldCharType="begin"/>
      </w:r>
      <w:r>
        <w:instrText xml:space="preserve"> PAGEREF _Toc7441 \h </w:instrText>
      </w:r>
      <w:r>
        <w:fldChar w:fldCharType="separate"/>
      </w:r>
      <w:r>
        <w:t>11</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_Toc7231 </w:instrText>
      </w:r>
      <w:r>
        <w:rPr>
          <w:rFonts w:cs="仿宋" w:asciiTheme="minorEastAsia" w:hAnsiTheme="minorEastAsia"/>
          <w:kern w:val="0"/>
          <w:szCs w:val="28"/>
          <w:lang w:bidi="ar"/>
        </w:rPr>
        <w:fldChar w:fldCharType="separate"/>
      </w:r>
      <w:r>
        <w:rPr>
          <w:rFonts w:hint="eastAsia" w:ascii="楷体" w:hAnsi="楷体" w:eastAsia="楷体"/>
          <w:lang w:bidi="ar"/>
        </w:rPr>
        <w:t xml:space="preserve">（八） </w:t>
      </w:r>
      <w:r>
        <w:rPr>
          <w:rFonts w:hint="eastAsia"/>
          <w:lang w:eastAsia="zh-CN" w:bidi="ar"/>
        </w:rPr>
        <w:t>促进应急测绘保障体系建设</w:t>
      </w:r>
      <w:r>
        <w:tab/>
      </w:r>
      <w:r>
        <w:fldChar w:fldCharType="begin"/>
      </w:r>
      <w:r>
        <w:instrText xml:space="preserve"> PAGEREF _Toc7231 \h </w:instrText>
      </w:r>
      <w:r>
        <w:fldChar w:fldCharType="separate"/>
      </w:r>
      <w:r>
        <w:t>12</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_Toc8883 </w:instrText>
      </w:r>
      <w:r>
        <w:rPr>
          <w:rFonts w:cs="仿宋" w:asciiTheme="minorEastAsia" w:hAnsiTheme="minorEastAsia"/>
          <w:kern w:val="0"/>
          <w:szCs w:val="28"/>
          <w:lang w:bidi="ar"/>
        </w:rPr>
        <w:fldChar w:fldCharType="separate"/>
      </w:r>
      <w:r>
        <w:rPr>
          <w:rFonts w:hint="eastAsia" w:ascii="楷体" w:hAnsi="楷体" w:eastAsia="楷体"/>
          <w:lang w:bidi="ar"/>
        </w:rPr>
        <w:t xml:space="preserve">（九） </w:t>
      </w:r>
      <w:r>
        <w:rPr>
          <w:rFonts w:hint="eastAsia"/>
          <w:lang w:bidi="ar"/>
        </w:rPr>
        <w:t>健全完善的基础测绘安全与管理体制</w:t>
      </w:r>
      <w:r>
        <w:tab/>
      </w:r>
      <w:r>
        <w:fldChar w:fldCharType="begin"/>
      </w:r>
      <w:r>
        <w:instrText xml:space="preserve"> PAGEREF _Toc8883 \h </w:instrText>
      </w:r>
      <w:r>
        <w:fldChar w:fldCharType="separate"/>
      </w:r>
      <w:r>
        <w:t>12</w:t>
      </w:r>
      <w:r>
        <w:fldChar w:fldCharType="end"/>
      </w:r>
      <w:r>
        <w:rPr>
          <w:rFonts w:cs="仿宋" w:asciiTheme="minorEastAsia" w:hAnsiTheme="minorEastAsia"/>
          <w:color w:val="000000"/>
          <w:kern w:val="0"/>
          <w:szCs w:val="28"/>
          <w:lang w:bidi="ar"/>
        </w:rPr>
        <w:fldChar w:fldCharType="end"/>
      </w:r>
    </w:p>
    <w:p>
      <w:pPr>
        <w:pStyle w:val="7"/>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_Toc8844 </w:instrText>
      </w:r>
      <w:r>
        <w:rPr>
          <w:rFonts w:cs="仿宋" w:asciiTheme="minorEastAsia" w:hAnsiTheme="minorEastAsia"/>
          <w:kern w:val="0"/>
          <w:szCs w:val="28"/>
          <w:lang w:bidi="ar"/>
        </w:rPr>
        <w:fldChar w:fldCharType="separate"/>
      </w:r>
      <w:r>
        <w:rPr>
          <w:rFonts w:hint="eastAsia" w:eastAsia="黑体"/>
          <w:i w:val="0"/>
          <w:lang w:bidi="ar"/>
        </w:rPr>
        <w:t xml:space="preserve">五、 </w:t>
      </w:r>
      <w:r>
        <w:rPr>
          <w:rFonts w:hint="eastAsia"/>
          <w:lang w:bidi="ar"/>
        </w:rPr>
        <w:t>保障措施</w:t>
      </w:r>
      <w:r>
        <w:tab/>
      </w:r>
      <w:r>
        <w:fldChar w:fldCharType="begin"/>
      </w:r>
      <w:r>
        <w:instrText xml:space="preserve"> PAGEREF _Toc8844 \h </w:instrText>
      </w:r>
      <w:r>
        <w:fldChar w:fldCharType="separate"/>
      </w:r>
      <w:r>
        <w:t>13</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_Toc19407 </w:instrText>
      </w:r>
      <w:r>
        <w:rPr>
          <w:rFonts w:cs="仿宋" w:asciiTheme="minorEastAsia" w:hAnsiTheme="minorEastAsia"/>
          <w:kern w:val="0"/>
          <w:szCs w:val="28"/>
          <w:lang w:bidi="ar"/>
        </w:rPr>
        <w:fldChar w:fldCharType="separate"/>
      </w:r>
      <w:r>
        <w:rPr>
          <w:rFonts w:hint="eastAsia" w:ascii="楷体" w:hAnsi="楷体" w:eastAsia="楷体"/>
          <w:lang w:bidi="ar"/>
        </w:rPr>
        <w:t xml:space="preserve">（一） </w:t>
      </w:r>
      <w:r>
        <w:rPr>
          <w:rFonts w:hint="eastAsia"/>
          <w:lang w:bidi="ar"/>
        </w:rPr>
        <w:t>政策制度保障</w:t>
      </w:r>
      <w:r>
        <w:tab/>
      </w:r>
      <w:r>
        <w:fldChar w:fldCharType="begin"/>
      </w:r>
      <w:r>
        <w:instrText xml:space="preserve"> PAGEREF _Toc19407 \h </w:instrText>
      </w:r>
      <w:r>
        <w:fldChar w:fldCharType="separate"/>
      </w:r>
      <w:r>
        <w:t>13</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_Toc28235 </w:instrText>
      </w:r>
      <w:r>
        <w:rPr>
          <w:rFonts w:cs="仿宋" w:asciiTheme="minorEastAsia" w:hAnsiTheme="minorEastAsia"/>
          <w:kern w:val="0"/>
          <w:szCs w:val="28"/>
          <w:lang w:bidi="ar"/>
        </w:rPr>
        <w:fldChar w:fldCharType="separate"/>
      </w:r>
      <w:r>
        <w:rPr>
          <w:rFonts w:hint="eastAsia" w:ascii="楷体" w:hAnsi="楷体" w:eastAsia="楷体"/>
        </w:rPr>
        <w:t xml:space="preserve">（二） </w:t>
      </w:r>
      <w:r>
        <w:rPr>
          <w:rFonts w:hint="eastAsia"/>
          <w:lang w:bidi="ar"/>
        </w:rPr>
        <w:t>组织监管保障</w:t>
      </w:r>
      <w:r>
        <w:tab/>
      </w:r>
      <w:r>
        <w:fldChar w:fldCharType="begin"/>
      </w:r>
      <w:r>
        <w:instrText xml:space="preserve"> PAGEREF _Toc28235 \h </w:instrText>
      </w:r>
      <w:r>
        <w:fldChar w:fldCharType="separate"/>
      </w:r>
      <w:r>
        <w:t>13</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_Toc8697 </w:instrText>
      </w:r>
      <w:r>
        <w:rPr>
          <w:rFonts w:cs="仿宋" w:asciiTheme="minorEastAsia" w:hAnsiTheme="minorEastAsia"/>
          <w:kern w:val="0"/>
          <w:szCs w:val="28"/>
          <w:lang w:bidi="ar"/>
        </w:rPr>
        <w:fldChar w:fldCharType="separate"/>
      </w:r>
      <w:r>
        <w:rPr>
          <w:rFonts w:hint="eastAsia" w:ascii="楷体" w:hAnsi="楷体" w:eastAsia="楷体"/>
        </w:rPr>
        <w:t xml:space="preserve">（三） </w:t>
      </w:r>
      <w:r>
        <w:rPr>
          <w:rFonts w:hint="eastAsia"/>
          <w:lang w:bidi="ar"/>
        </w:rPr>
        <w:t>经费投入保障</w:t>
      </w:r>
      <w:r>
        <w:tab/>
      </w:r>
      <w:r>
        <w:fldChar w:fldCharType="begin"/>
      </w:r>
      <w:r>
        <w:instrText xml:space="preserve"> PAGEREF _Toc8697 \h </w:instrText>
      </w:r>
      <w:r>
        <w:fldChar w:fldCharType="separate"/>
      </w:r>
      <w:r>
        <w:t>14</w:t>
      </w:r>
      <w:r>
        <w:fldChar w:fldCharType="end"/>
      </w:r>
      <w:r>
        <w:rPr>
          <w:rFonts w:cs="仿宋" w:asciiTheme="minorEastAsia" w:hAnsiTheme="minorEastAsia"/>
          <w:color w:val="000000"/>
          <w:kern w:val="0"/>
          <w:szCs w:val="28"/>
          <w:lang w:bidi="ar"/>
        </w:rPr>
        <w:fldChar w:fldCharType="end"/>
      </w:r>
    </w:p>
    <w:p>
      <w:pPr>
        <w:pStyle w:val="8"/>
        <w:tabs>
          <w:tab w:val="right" w:leader="dot" w:pos="8306"/>
        </w:tabs>
      </w:pPr>
      <w:r>
        <w:rPr>
          <w:rFonts w:cs="仿宋" w:asciiTheme="minorEastAsia" w:hAnsiTheme="minorEastAsia"/>
          <w:color w:val="000000"/>
          <w:kern w:val="0"/>
          <w:szCs w:val="28"/>
          <w:lang w:bidi="ar"/>
        </w:rPr>
        <w:fldChar w:fldCharType="begin"/>
      </w:r>
      <w:r>
        <w:rPr>
          <w:rFonts w:cs="仿宋" w:asciiTheme="minorEastAsia" w:hAnsiTheme="minorEastAsia"/>
          <w:kern w:val="0"/>
          <w:szCs w:val="28"/>
          <w:lang w:bidi="ar"/>
        </w:rPr>
        <w:instrText xml:space="preserve"> HYPERLINK \l _Toc5050 </w:instrText>
      </w:r>
      <w:r>
        <w:rPr>
          <w:rFonts w:cs="仿宋" w:asciiTheme="minorEastAsia" w:hAnsiTheme="minorEastAsia"/>
          <w:kern w:val="0"/>
          <w:szCs w:val="28"/>
          <w:lang w:bidi="ar"/>
        </w:rPr>
        <w:fldChar w:fldCharType="separate"/>
      </w:r>
      <w:r>
        <w:rPr>
          <w:rFonts w:hint="eastAsia" w:ascii="楷体" w:hAnsi="楷体" w:eastAsia="楷体"/>
        </w:rPr>
        <w:t xml:space="preserve">（四） </w:t>
      </w:r>
      <w:r>
        <w:rPr>
          <w:rFonts w:hint="eastAsia"/>
          <w:lang w:bidi="ar"/>
        </w:rPr>
        <w:t>安全措施保障</w:t>
      </w:r>
      <w:r>
        <w:tab/>
      </w:r>
      <w:r>
        <w:fldChar w:fldCharType="begin"/>
      </w:r>
      <w:r>
        <w:instrText xml:space="preserve"> PAGEREF _Toc5050 \h </w:instrText>
      </w:r>
      <w:r>
        <w:fldChar w:fldCharType="separate"/>
      </w:r>
      <w:r>
        <w:t>15</w:t>
      </w:r>
      <w:r>
        <w:fldChar w:fldCharType="end"/>
      </w:r>
      <w:r>
        <w:rPr>
          <w:rFonts w:cs="仿宋" w:asciiTheme="minorEastAsia" w:hAnsiTheme="minorEastAsia"/>
          <w:color w:val="000000"/>
          <w:kern w:val="0"/>
          <w:szCs w:val="28"/>
          <w:lang w:bidi="ar"/>
        </w:rPr>
        <w:fldChar w:fldCharType="end"/>
      </w:r>
    </w:p>
    <w:p>
      <w:pPr>
        <w:widowControl/>
        <w:ind w:firstLine="560"/>
        <w:jc w:val="left"/>
        <w:rPr>
          <w:rFonts w:cs="仿宋" w:asciiTheme="minorEastAsia" w:hAnsiTheme="minorEastAsia"/>
          <w:color w:val="000000"/>
          <w:kern w:val="0"/>
          <w:szCs w:val="28"/>
          <w:lang w:bidi="ar"/>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cs="仿宋" w:asciiTheme="minorEastAsia" w:hAnsiTheme="minorEastAsia"/>
          <w:color w:val="000000"/>
          <w:kern w:val="0"/>
          <w:szCs w:val="28"/>
          <w:lang w:bidi="ar"/>
        </w:rPr>
        <w:fldChar w:fldCharType="end"/>
      </w:r>
    </w:p>
    <w:p>
      <w:pPr>
        <w:ind w:firstLine="560"/>
        <w:rPr>
          <w:lang w:bidi="ar"/>
        </w:rPr>
      </w:pPr>
      <w:r>
        <w:rPr>
          <w:lang w:bidi="ar"/>
        </w:rPr>
        <w:t>基础测绘是为经济建设、国防建设和社会发展提供测绘地理信息的基础性、公益性事业，是经济社会可持续发展和自然资源精细化管理的重要支撑。加快发展基础测绘，构建新型基础测绘体系，全面提升测绘地理信息应用与服务水平，对于经济建设、国防建设、社会发展和生态保护等具有重要意义。</w:t>
      </w:r>
      <w:r>
        <w:rPr>
          <w:rFonts w:hint="eastAsia"/>
          <w:lang w:bidi="ar"/>
        </w:rPr>
        <w:t>根据《中华人民共和国测绘法》《辽宁省测绘地理信息条例》</w:t>
      </w:r>
      <w:r>
        <w:rPr>
          <w:lang w:bidi="ar"/>
        </w:rPr>
        <w:t>等相关法律法规，</w:t>
      </w:r>
      <w:r>
        <w:rPr>
          <w:rFonts w:hint="eastAsia"/>
          <w:lang w:bidi="ar"/>
        </w:rPr>
        <w:t>结合《辽宁省国民经济和社会发展第十四个五年规划和二〇三五年远景目标》和</w:t>
      </w:r>
      <w:r>
        <w:rPr>
          <w:lang w:bidi="ar"/>
        </w:rPr>
        <w:t>《</w:t>
      </w:r>
      <w:r>
        <w:rPr>
          <w:rFonts w:hint="eastAsia"/>
          <w:lang w:bidi="ar"/>
        </w:rPr>
        <w:t>辽宁</w:t>
      </w:r>
      <w:r>
        <w:rPr>
          <w:lang w:bidi="ar"/>
        </w:rPr>
        <w:t>省基础测绘“十四五”规划》</w:t>
      </w:r>
      <w:r>
        <w:rPr>
          <w:rFonts w:hint="eastAsia"/>
          <w:lang w:bidi="ar"/>
        </w:rPr>
        <w:t>相关规划指导精神，</w:t>
      </w:r>
      <w:r>
        <w:rPr>
          <w:lang w:bidi="ar"/>
        </w:rPr>
        <w:t>分析</w:t>
      </w:r>
      <w:r>
        <w:rPr>
          <w:rFonts w:hint="eastAsia"/>
          <w:lang w:bidi="ar"/>
        </w:rPr>
        <w:t>营口市</w:t>
      </w:r>
      <w:r>
        <w:rPr>
          <w:lang w:bidi="ar"/>
        </w:rPr>
        <w:t>“十四五”社会经济发展对基础测绘的需求，并结合</w:t>
      </w:r>
      <w:r>
        <w:rPr>
          <w:rFonts w:hint="eastAsia"/>
          <w:lang w:bidi="ar"/>
        </w:rPr>
        <w:t>营口市</w:t>
      </w:r>
      <w:r>
        <w:rPr>
          <w:lang w:bidi="ar"/>
        </w:rPr>
        <w:t>实际，制定《</w:t>
      </w:r>
      <w:r>
        <w:rPr>
          <w:rFonts w:hint="eastAsia"/>
          <w:lang w:bidi="ar"/>
        </w:rPr>
        <w:t>营口市</w:t>
      </w:r>
      <w:r>
        <w:rPr>
          <w:lang w:bidi="ar"/>
        </w:rPr>
        <w:t>“十四五”基础测绘规划》，阐明我</w:t>
      </w:r>
      <w:r>
        <w:rPr>
          <w:rFonts w:hint="eastAsia"/>
          <w:lang w:bidi="ar"/>
        </w:rPr>
        <w:t>市</w:t>
      </w:r>
      <w:r>
        <w:rPr>
          <w:lang w:bidi="ar"/>
        </w:rPr>
        <w:t>“十四五”时期基础测绘的发展重点和主要任务，为我</w:t>
      </w:r>
      <w:r>
        <w:rPr>
          <w:rFonts w:hint="eastAsia"/>
          <w:lang w:bidi="ar"/>
        </w:rPr>
        <w:t>市</w:t>
      </w:r>
      <w:r>
        <w:rPr>
          <w:lang w:bidi="ar"/>
        </w:rPr>
        <w:t>今后五年基础测绘的发展提供指导和依据。</w:t>
      </w:r>
    </w:p>
    <w:p>
      <w:pPr>
        <w:ind w:firstLine="560"/>
        <w:rPr>
          <w:lang w:bidi="ar"/>
        </w:rPr>
      </w:pPr>
      <w:r>
        <w:rPr>
          <w:lang w:bidi="ar"/>
        </w:rPr>
        <w:t>本规划在地域空间上覆盖</w:t>
      </w:r>
      <w:r>
        <w:rPr>
          <w:rFonts w:hint="eastAsia"/>
          <w:lang w:bidi="ar"/>
        </w:rPr>
        <w:t>营口市全</w:t>
      </w:r>
      <w:r>
        <w:rPr>
          <w:lang w:bidi="ar"/>
        </w:rPr>
        <w:t>域，规划期限为2021-2025</w:t>
      </w:r>
      <w:r>
        <w:rPr>
          <w:rFonts w:hint="eastAsia"/>
          <w:lang w:bidi="ar"/>
        </w:rPr>
        <w:t>年。</w:t>
      </w:r>
    </w:p>
    <w:p>
      <w:pPr>
        <w:pStyle w:val="2"/>
        <w:spacing w:before="156" w:after="156"/>
        <w:rPr>
          <w:lang w:bidi="ar"/>
        </w:rPr>
      </w:pPr>
      <w:bookmarkStart w:id="0" w:name="_Toc90241799"/>
      <w:r>
        <w:rPr>
          <w:rFonts w:hint="eastAsia"/>
          <w:lang w:bidi="ar"/>
        </w:rPr>
        <w:t xml:space="preserve"> </w:t>
      </w:r>
      <w:bookmarkStart w:id="1" w:name="_Toc31835"/>
      <w:r>
        <w:rPr>
          <w:rFonts w:hint="eastAsia"/>
          <w:lang w:bidi="ar"/>
        </w:rPr>
        <w:t>“十三五”发展现状</w:t>
      </w:r>
      <w:bookmarkEnd w:id="0"/>
      <w:bookmarkEnd w:id="1"/>
    </w:p>
    <w:p>
      <w:pPr>
        <w:ind w:firstLine="560"/>
        <w:rPr>
          <w:lang w:bidi="ar"/>
        </w:rPr>
      </w:pPr>
      <w:r>
        <w:rPr>
          <w:rFonts w:hint="eastAsia"/>
          <w:lang w:bidi="ar"/>
        </w:rPr>
        <w:t>虽然营口市在“十三五”期间未开展相关规划编制工作，但是在市委、市政府的正确领导下，紧跟时代步伐，服从领导，积极响应号召，在测绘地理信息工作中始终坚持拥护省自然资源厅提出的服务大局、服务社会、服务国防、服务民生的宗旨，</w:t>
      </w:r>
      <w:r>
        <w:rPr>
          <w:lang w:bidi="ar"/>
        </w:rPr>
        <w:t>全</w:t>
      </w:r>
      <w:r>
        <w:rPr>
          <w:rFonts w:hint="eastAsia"/>
          <w:lang w:bidi="ar"/>
        </w:rPr>
        <w:t>市</w:t>
      </w:r>
      <w:r>
        <w:rPr>
          <w:lang w:bidi="ar"/>
        </w:rPr>
        <w:t>测绘保障能力和服务水平明显提升</w:t>
      </w:r>
      <w:r>
        <w:rPr>
          <w:rFonts w:hint="eastAsia"/>
          <w:lang w:bidi="ar"/>
        </w:rPr>
        <w:t>。</w:t>
      </w:r>
    </w:p>
    <w:p>
      <w:pPr>
        <w:pStyle w:val="3"/>
        <w:spacing w:before="156" w:after="156"/>
        <w:rPr>
          <w:lang w:bidi="ar"/>
        </w:rPr>
      </w:pPr>
      <w:bookmarkStart w:id="2" w:name="_Toc90241800"/>
      <w:bookmarkStart w:id="3" w:name="_Toc14585"/>
      <w:r>
        <w:rPr>
          <w:rFonts w:hint="eastAsia"/>
          <w:lang w:bidi="ar"/>
        </w:rPr>
        <w:t>测绘管理体制机制不断健全，行政监管能力显著提升</w:t>
      </w:r>
      <w:bookmarkEnd w:id="2"/>
      <w:bookmarkEnd w:id="3"/>
    </w:p>
    <w:p>
      <w:pPr>
        <w:ind w:firstLine="560"/>
      </w:pPr>
      <w:r>
        <w:rPr>
          <w:rFonts w:hint="eastAsia"/>
        </w:rPr>
        <w:t>参照省自然资源厅管理模式，营口市将测绘行政管理统一纳入自然资源管理体系</w:t>
      </w:r>
      <w:r>
        <w:rPr>
          <w:rFonts w:hint="eastAsia"/>
          <w:lang w:eastAsia="zh-CN"/>
        </w:rPr>
        <w:t>。</w:t>
      </w:r>
      <w:r>
        <w:rPr>
          <w:rFonts w:hint="eastAsia"/>
        </w:rPr>
        <w:t>“十三五”工作期间</w:t>
      </w:r>
      <w:r>
        <w:rPr>
          <w:rFonts w:hint="eastAsia"/>
          <w:lang w:val="en-US" w:eastAsia="zh-CN"/>
        </w:rPr>
        <w:t>落实</w:t>
      </w:r>
      <w:r>
        <w:rPr>
          <w:rFonts w:hint="eastAsia"/>
        </w:rPr>
        <w:t>省自然资源厅</w:t>
      </w:r>
      <w:r>
        <w:rPr>
          <w:rFonts w:hint="eastAsia"/>
          <w:lang w:val="en-US" w:eastAsia="zh-CN"/>
        </w:rPr>
        <w:t>制定</w:t>
      </w:r>
      <w:r>
        <w:rPr>
          <w:rFonts w:hint="eastAsia"/>
        </w:rPr>
        <w:t>的《辽宁省测绘地理信息条例》、《辽宁省测绘成果管理规定》等相关规定，不断加强对测绘市场的监管能力，规范测绘资质管理、提升测绘产品的质量管理，测绘行政执法工作力度不断加强，各部门对于工作监管能力显著提高。</w:t>
      </w:r>
    </w:p>
    <w:p>
      <w:pPr>
        <w:pStyle w:val="3"/>
        <w:spacing w:before="156" w:after="156"/>
        <w:rPr>
          <w:lang w:bidi="ar"/>
        </w:rPr>
      </w:pPr>
      <w:bookmarkStart w:id="4" w:name="_Toc90241801"/>
      <w:bookmarkStart w:id="5" w:name="_Toc13198"/>
      <w:r>
        <w:rPr>
          <w:lang w:bidi="ar"/>
        </w:rPr>
        <w:t>测绘基准尚未健全</w:t>
      </w:r>
      <w:bookmarkEnd w:id="4"/>
      <w:bookmarkEnd w:id="5"/>
    </w:p>
    <w:p>
      <w:pPr>
        <w:ind w:firstLine="560"/>
        <w:rPr>
          <w:lang w:bidi="ar"/>
        </w:rPr>
      </w:pPr>
      <w:r>
        <w:rPr>
          <w:lang w:bidi="ar"/>
        </w:rPr>
        <w:t>全</w:t>
      </w:r>
      <w:r>
        <w:rPr>
          <w:rFonts w:hint="eastAsia"/>
          <w:lang w:bidi="ar"/>
        </w:rPr>
        <w:t>市</w:t>
      </w:r>
      <w:r>
        <w:rPr>
          <w:lang w:bidi="ar"/>
        </w:rPr>
        <w:t>测绘标准存在完整性、统一性、协调性和适用性不足的问题，尚未建成全</w:t>
      </w:r>
      <w:r>
        <w:rPr>
          <w:rFonts w:hint="eastAsia"/>
          <w:lang w:bidi="ar"/>
        </w:rPr>
        <w:t>市</w:t>
      </w:r>
      <w:r>
        <w:rPr>
          <w:lang w:bidi="ar"/>
        </w:rPr>
        <w:t>统一的现代测绘基准体系。GNSS站点尚有待完善，大地、高程、重力基准有待融合和扩展，CGCS2000坐标系统尚未得到权威和广泛使用。由于采用不同的测绘基准和标准，影响了基础测绘成果质量，增加了基础测绘成果应用和共享成本，对全</w:t>
      </w:r>
      <w:r>
        <w:rPr>
          <w:rFonts w:hint="eastAsia"/>
          <w:lang w:bidi="ar"/>
        </w:rPr>
        <w:t>市</w:t>
      </w:r>
      <w:r>
        <w:rPr>
          <w:lang w:bidi="ar"/>
        </w:rPr>
        <w:t>信息化建设产生不利影响</w:t>
      </w:r>
      <w:r>
        <w:rPr>
          <w:rFonts w:hint="eastAsia"/>
          <w:lang w:bidi="ar"/>
        </w:rPr>
        <w:t>。</w:t>
      </w:r>
      <w:bookmarkStart w:id="6" w:name="_Hlk90038436"/>
    </w:p>
    <w:bookmarkEnd w:id="6"/>
    <w:p>
      <w:pPr>
        <w:pStyle w:val="3"/>
        <w:spacing w:before="156" w:after="156"/>
        <w:rPr>
          <w:lang w:bidi="ar"/>
        </w:rPr>
      </w:pPr>
      <w:bookmarkStart w:id="7" w:name="_Toc13935"/>
      <w:bookmarkStart w:id="8" w:name="_Toc90241802"/>
      <w:r>
        <w:rPr>
          <w:lang w:bidi="ar"/>
        </w:rPr>
        <w:t>测绘服务领域和部门显著增多</w:t>
      </w:r>
      <w:bookmarkEnd w:id="7"/>
      <w:bookmarkEnd w:id="8"/>
    </w:p>
    <w:p>
      <w:pPr>
        <w:ind w:firstLine="560"/>
      </w:pPr>
      <w:r>
        <w:rPr>
          <w:lang w:bidi="ar"/>
        </w:rPr>
        <w:t>近年来，</w:t>
      </w:r>
      <w:r>
        <w:rPr>
          <w:rFonts w:hint="eastAsia"/>
          <w:lang w:bidi="ar"/>
        </w:rPr>
        <w:t>市</w:t>
      </w:r>
      <w:r>
        <w:rPr>
          <w:lang w:bidi="ar"/>
        </w:rPr>
        <w:t>测绘地理信息部门主动服务的意识不断提高，除传统应用在城市规划、自然资源等行业部门外，还扩展到林业、农业、水利、交通、应急、生态环境等领域。全</w:t>
      </w:r>
      <w:r>
        <w:rPr>
          <w:rFonts w:hint="eastAsia"/>
          <w:lang w:bidi="ar"/>
        </w:rPr>
        <w:t>市</w:t>
      </w:r>
      <w:r>
        <w:rPr>
          <w:lang w:bidi="ar"/>
        </w:rPr>
        <w:t>测绘地理信息服务呈现出逐渐由被动转为主动，由纸质化转向数字化，由单一产品转向多种产品服务的良好趋势。基础测绘为各行业各部门有关重大工程建设持续提供便捷有效的服务，测绘成果的不断供给促进了经济社会发展，使得测绘服务经济社会发展和保障民生的能力进一步提升。</w:t>
      </w:r>
    </w:p>
    <w:p>
      <w:pPr>
        <w:pStyle w:val="3"/>
        <w:spacing w:before="156" w:after="156"/>
        <w:rPr>
          <w:lang w:bidi="ar"/>
        </w:rPr>
      </w:pPr>
      <w:bookmarkStart w:id="9" w:name="_Toc90241803"/>
      <w:bookmarkStart w:id="10" w:name="_Toc2589"/>
      <w:r>
        <w:rPr>
          <w:lang w:bidi="ar"/>
        </w:rPr>
        <w:t>地理信息共享机制亟需改善</w:t>
      </w:r>
      <w:bookmarkEnd w:id="9"/>
      <w:bookmarkEnd w:id="10"/>
    </w:p>
    <w:p>
      <w:pPr>
        <w:ind w:firstLine="560"/>
        <w:rPr>
          <w:rFonts w:cs="黑体"/>
          <w:lang w:bidi="ar"/>
        </w:rPr>
      </w:pPr>
      <w:r>
        <w:rPr>
          <w:lang w:bidi="ar"/>
        </w:rPr>
        <w:t>随着城市化进程的加快，各职能部门为满足自身建设和管理工作的迫切需要，自筹资金组织测图，测绘成果归组织施测的部门所有，有时甚至造成同一地区不同单位重复测绘，这种条块分割的测绘管理方式，导致基础测绘资源的严重浪费，而且还造成测绘基准不同、技术标准不一、成果质量不均等现象。测绘标准化工作严重滞后，各部门数据采集的标准不统一，信息不全、不准，数据交换渠道不畅</w:t>
      </w:r>
      <w:r>
        <w:rPr>
          <w:rFonts w:hint="eastAsia"/>
          <w:lang w:bidi="ar"/>
        </w:rPr>
        <w:t>。</w:t>
      </w:r>
    </w:p>
    <w:p>
      <w:pPr>
        <w:pStyle w:val="3"/>
        <w:spacing w:before="156" w:after="156"/>
        <w:rPr>
          <w:lang w:bidi="ar"/>
        </w:rPr>
      </w:pPr>
      <w:bookmarkStart w:id="11" w:name="_Toc7565"/>
      <w:bookmarkStart w:id="12" w:name="_Toc90241804"/>
      <w:r>
        <w:rPr>
          <w:lang w:bidi="ar"/>
        </w:rPr>
        <w:t>基础测绘管理机制有待完善</w:t>
      </w:r>
      <w:bookmarkEnd w:id="11"/>
      <w:bookmarkEnd w:id="12"/>
    </w:p>
    <w:p>
      <w:pPr>
        <w:ind w:firstLine="560"/>
        <w:rPr>
          <w:lang w:bidi="ar"/>
        </w:rPr>
      </w:pPr>
      <w:r>
        <w:rPr>
          <w:lang w:bidi="ar"/>
        </w:rPr>
        <w:t>对基础测绘实施的管理制度还不太完善，在相关的测绘活动中，对标准和规范的执行力度有待提高。基础测绘成果档案存储与服务基础设施建设薄弱，基础测绘成果资料管理和服务设施陈旧，没有建立基础测绘成果资料目录，成果数据没有采用数据库方式管理，管理方法和管理手段滞后，给基础测绘成果资料的安全管理带来隐患。</w:t>
      </w:r>
    </w:p>
    <w:p>
      <w:pPr>
        <w:pStyle w:val="2"/>
        <w:spacing w:before="156" w:after="156"/>
        <w:ind w:firstLine="562"/>
        <w:rPr>
          <w:lang w:bidi="ar"/>
        </w:rPr>
      </w:pPr>
      <w:bookmarkStart w:id="13" w:name="_Toc90241805"/>
      <w:r>
        <w:rPr>
          <w:rFonts w:hint="eastAsia"/>
          <w:lang w:bidi="ar"/>
        </w:rPr>
        <w:t xml:space="preserve"> </w:t>
      </w:r>
      <w:bookmarkStart w:id="14" w:name="_Toc3458"/>
      <w:r>
        <w:rPr>
          <w:rFonts w:hint="eastAsia"/>
          <w:lang w:bidi="ar"/>
        </w:rPr>
        <w:t>“十四五”期间面临的形势</w:t>
      </w:r>
      <w:bookmarkEnd w:id="13"/>
      <w:bookmarkEnd w:id="14"/>
    </w:p>
    <w:p>
      <w:pPr>
        <w:ind w:firstLine="560"/>
        <w:rPr>
          <w:lang w:bidi="ar"/>
        </w:rPr>
      </w:pPr>
      <w:r>
        <w:rPr>
          <w:lang w:bidi="ar"/>
        </w:rPr>
        <w:t>“十四五”是实施新的“两步走”战略、开启社会主义现代化强国新征程的第一个五年规划期。对基础测绘而言，是面对新形势、针对新需求、适应新环境、应用新技术，实现创新发展、转型发展的关键时期，“十四五”规划编制工作实质上是一项在新的历史起点上实现准确定位和高质量发展的基础性工作</w:t>
      </w:r>
      <w:r>
        <w:rPr>
          <w:rFonts w:hint="eastAsia"/>
          <w:lang w:bidi="ar"/>
        </w:rPr>
        <w:t>。</w:t>
      </w:r>
    </w:p>
    <w:p>
      <w:pPr>
        <w:pStyle w:val="3"/>
        <w:spacing w:before="156" w:after="156"/>
      </w:pPr>
      <w:bookmarkStart w:id="15" w:name="_Toc32202"/>
      <w:bookmarkStart w:id="16" w:name="_Toc90241806"/>
      <w:r>
        <w:rPr>
          <w:rFonts w:hint="eastAsia"/>
          <w:lang w:bidi="ar"/>
        </w:rPr>
        <w:t>机构改革赋予测绘地理信息新使命</w:t>
      </w:r>
      <w:bookmarkEnd w:id="15"/>
      <w:bookmarkEnd w:id="16"/>
    </w:p>
    <w:p>
      <w:pPr>
        <w:ind w:firstLine="560"/>
        <w:rPr>
          <w:lang w:bidi="ar"/>
        </w:rPr>
      </w:pPr>
      <w:r>
        <w:rPr>
          <w:rFonts w:hint="eastAsia"/>
          <w:lang w:bidi="ar"/>
        </w:rPr>
        <w:t>新一轮机构改革后，在全省各地相继成立统一行使自然资源管理职能的自然资源行政管理机构，并将测绘地理信息行政管理职能统一归并到自然资源行政管理体系的社会背景下，营口市也积极投身到机构改革的浪潮中来，服从领导，尊重实际需求，与其他地市一起完成了自然资源机构改革，将测绘地理信息行政管理职能归并到自然资源行政管理体系中。测绘地理信息工作正从向全社会提供普适性服务转化为重点支撑自然资源“两统一”职责履职，同时保障支撑国民经济建设上来。测绘地理信息服务范畴更加广泛，服务对象和目标更具体、更明确。立足新起点，营口市测绘地理信息工作需要从经济建设、国防建设和生态文明建设大局出发，准确把握新机构背景下赋予基础测绘工作的使命和担当，为更好统筹推进自然资源管理提供实用全面、现势性强、精细化程度高的地理信息资源和技术保障。</w:t>
      </w:r>
    </w:p>
    <w:p>
      <w:pPr>
        <w:pStyle w:val="3"/>
        <w:spacing w:before="156" w:after="156"/>
        <w:rPr>
          <w:lang w:bidi="ar"/>
        </w:rPr>
      </w:pPr>
      <w:bookmarkStart w:id="17" w:name="_Toc28588"/>
      <w:bookmarkStart w:id="18" w:name="_Toc90241807"/>
      <w:r>
        <w:rPr>
          <w:rFonts w:hint="eastAsia"/>
          <w:lang w:bidi="ar"/>
        </w:rPr>
        <w:t>“两核两带”和数字营口建设对基础测绘提出更高要求</w:t>
      </w:r>
      <w:bookmarkEnd w:id="17"/>
      <w:bookmarkEnd w:id="18"/>
    </w:p>
    <w:p>
      <w:pPr>
        <w:ind w:firstLine="560"/>
        <w:rPr>
          <w:lang w:bidi="ar"/>
        </w:rPr>
      </w:pPr>
      <w:r>
        <w:rPr>
          <w:rFonts w:hint="eastAsia"/>
          <w:lang w:bidi="ar"/>
        </w:rPr>
        <w:t>“十四五”是建设社会主义现代化强国的新开端。在新发展格局下，营口市作为国家共建“一带一路”和辽宁沿海经济带的重要节点城市，是衔接国内大循环和国内国际双循环的重要支点，新形势下，为配合市委市政府构建“两核两带”的发展布局，提升城市发展能级，推动内涵式、组团式发展，促进经济一体化发展，全市正着力践行新发展理念，落实高质量发展要求，大力推进数字城市建设、努力推动营口市经济社会发展在“十四五”时期取得新突破。为继续保持经济社会持续健康发展，需要加快提升测绘地理信息工作的深度和广度，积极主动作为，创新产品形式和服务方式，保障基础地理信息数据鲜活丰富，实现信息获取实时化、数据处理智能化、便民服务网络化，为国民经济和社会发展提供高质量支撑保障服务。</w:t>
      </w:r>
    </w:p>
    <w:p>
      <w:pPr>
        <w:pStyle w:val="3"/>
        <w:spacing w:before="156" w:after="156"/>
        <w:rPr>
          <w:lang w:bidi="ar"/>
        </w:rPr>
      </w:pPr>
      <w:bookmarkStart w:id="19" w:name="_Toc2118"/>
      <w:bookmarkStart w:id="20" w:name="_Toc90241808"/>
      <w:r>
        <w:rPr>
          <w:rFonts w:hint="eastAsia"/>
          <w:lang w:bidi="ar"/>
        </w:rPr>
        <w:t>测绘技术现代化对基础测绘提供新驱动</w:t>
      </w:r>
      <w:bookmarkEnd w:id="19"/>
      <w:bookmarkEnd w:id="20"/>
    </w:p>
    <w:p>
      <w:pPr>
        <w:ind w:firstLine="560"/>
        <w:rPr>
          <w:color w:val="000000"/>
          <w:lang w:bidi="ar"/>
        </w:rPr>
      </w:pPr>
      <w:r>
        <w:rPr>
          <w:rFonts w:hint="eastAsia"/>
          <w:lang w:bidi="ar"/>
        </w:rPr>
        <w:t>以网格技术为代表的第三次Internet浪潮给信息化测绘创造了前所未有的大好条件。为完善其技术体系、提升信息化水平提供了直接技术支撑；物联网全面感知、可靠传送和智能处理的基本特征为基础测绘带来了无限可能；人工智能具有学习能力的特征，全面提高信息获取和应用的效率，但不可避免会冲击和颠覆传统基础测绘技术体系。5G信息通信技术越来越成为测绘地理行业的重要技术支撑；无所不在的物联网成为最主要的数据源；云计算则提供了安全、可靠、高效的计算、存储和服务资源；大数据提供了取之不竭的知识源泉；人工智能是为从烟波浩渺的大数据中加工产品，提供服务的基本支撑。现代化技术与地理信息结合，可驱动地理信息更好地服务社会，成为推动万物互联、发展智慧城市的一个关键。</w:t>
      </w:r>
    </w:p>
    <w:p>
      <w:pPr>
        <w:pStyle w:val="2"/>
        <w:spacing w:before="156" w:after="156"/>
        <w:ind w:firstLine="562"/>
        <w:rPr>
          <w:lang w:bidi="ar"/>
        </w:rPr>
      </w:pPr>
      <w:bookmarkStart w:id="21" w:name="_Toc90241809"/>
      <w:bookmarkStart w:id="22" w:name="_Toc4202"/>
      <w:r>
        <w:rPr>
          <w:lang w:bidi="ar"/>
        </w:rPr>
        <w:t>指导思想和规划目标</w:t>
      </w:r>
      <w:bookmarkEnd w:id="21"/>
      <w:bookmarkEnd w:id="22"/>
    </w:p>
    <w:p>
      <w:pPr>
        <w:pStyle w:val="3"/>
        <w:spacing w:before="156" w:after="156"/>
      </w:pPr>
      <w:bookmarkStart w:id="23" w:name="_Toc27673"/>
      <w:bookmarkStart w:id="24" w:name="_Toc90241810"/>
      <w:r>
        <w:rPr>
          <w:rFonts w:hint="eastAsia"/>
          <w:lang w:bidi="ar"/>
        </w:rPr>
        <w:t>指导思想</w:t>
      </w:r>
      <w:bookmarkEnd w:id="23"/>
      <w:bookmarkEnd w:id="24"/>
    </w:p>
    <w:p>
      <w:pPr>
        <w:ind w:firstLine="560"/>
      </w:pPr>
      <w:r>
        <w:rPr>
          <w:rFonts w:hint="eastAsia"/>
          <w:lang w:bidi="ar"/>
        </w:rPr>
        <w:t>坚持以习近平新时代中国特色社会主义思想为指导，全面贯彻落实党的十九大及十九届二中、三中、四中、五中全会精神，贯彻落实习近平总书记在辽宁考察时和在深入推进东北振兴座谈会上重要讲话精神以及关于自然资源管理重要论述精神，紧紧围绕“立足新发展阶段，贯彻新发展理念，构建新发展格局”和推进高质量发展要求，明确“一带三轴”发展策略，构建“两核两带”发展布局。促进转型升级、拓宽服务领域、提高服务效益为目标，统筹市、县测绘地理信息建设，推进基础测绘转型升级，全面促进测绘地理信息事业高质量发展，助力数字营口、智造强市建设，为市域经济行稳致远、社会安定和谐发展提供全方位支撑保障。</w:t>
      </w:r>
    </w:p>
    <w:p>
      <w:pPr>
        <w:pStyle w:val="3"/>
        <w:spacing w:before="156" w:after="156"/>
        <w:rPr>
          <w:lang w:bidi="ar"/>
        </w:rPr>
      </w:pPr>
      <w:bookmarkStart w:id="25" w:name="_Toc32491"/>
      <w:bookmarkStart w:id="26" w:name="_Toc90241811"/>
      <w:r>
        <w:rPr>
          <w:rFonts w:hint="eastAsia"/>
          <w:lang w:bidi="ar"/>
        </w:rPr>
        <w:t>基本原则</w:t>
      </w:r>
      <w:bookmarkEnd w:id="25"/>
      <w:bookmarkEnd w:id="26"/>
    </w:p>
    <w:p>
      <w:pPr>
        <w:widowControl/>
        <w:ind w:firstLine="562"/>
      </w:pPr>
      <w:r>
        <w:rPr>
          <w:rFonts w:hint="eastAsia" w:cs="仿宋" w:asciiTheme="minorEastAsia" w:hAnsiTheme="minorEastAsia"/>
          <w:b/>
          <w:bCs/>
          <w:color w:val="000000"/>
          <w:kern w:val="0"/>
          <w:szCs w:val="28"/>
          <w:lang w:bidi="ar"/>
        </w:rPr>
        <w:t>——统筹兼顾，协同更新。</w:t>
      </w:r>
      <w:r>
        <w:rPr>
          <w:rFonts w:hint="eastAsia"/>
        </w:rPr>
        <w:t>围绕市委市政府中心工作，立足“两支撑、一提升”根本定位，加强全市测绘地理信息工作的统筹协调力度，与各部门工作统筹协调、紧密结合，既注重基础测绘工作的相对独立性，又注重与自然资源其他业务工作的衔接与协调，建立健全市县联动、协同更新的基础测绘工作机制。</w:t>
      </w:r>
    </w:p>
    <w:p>
      <w:pPr>
        <w:widowControl/>
        <w:ind w:firstLine="562"/>
        <w:rPr>
          <w:rFonts w:cs="仿宋" w:asciiTheme="minorEastAsia" w:hAnsiTheme="minorEastAsia"/>
          <w:szCs w:val="28"/>
        </w:rPr>
      </w:pPr>
      <w:r>
        <w:rPr>
          <w:rFonts w:hint="eastAsia"/>
          <w:b/>
          <w:bCs/>
        </w:rPr>
        <w:t>——积极创新，转型发展。</w:t>
      </w:r>
      <w:r>
        <w:rPr>
          <w:rFonts w:hint="eastAsia"/>
        </w:rPr>
        <w:t>将创新放在首位，把科技自立自强作为基础测绘发展的战略支撑，以改革创新为根本动力，不断提升基础地理信息资源供给能力和地理信息综合服务水平。立足实际，突出营口特色，发挥营口现有优势，加快测绘地理信息技术转型发展。</w:t>
      </w:r>
    </w:p>
    <w:p>
      <w:pPr>
        <w:widowControl/>
        <w:ind w:firstLine="562"/>
        <w:rPr>
          <w:rFonts w:cs="仿宋" w:asciiTheme="minorEastAsia" w:hAnsiTheme="minorEastAsia"/>
          <w:szCs w:val="28"/>
        </w:rPr>
      </w:pPr>
      <w:r>
        <w:rPr>
          <w:rFonts w:hint="eastAsia"/>
          <w:b/>
          <w:bCs/>
        </w:rPr>
        <w:t>——共建共享，深化服务。</w:t>
      </w:r>
      <w:r>
        <w:rPr>
          <w:rFonts w:hint="eastAsia"/>
        </w:rPr>
        <w:t>持续为相关使用单位（企业）提供准确性高，现势性强，可利用程度高的地理信息资源，提升地理信息资源共享水平。围绕新形势新要求，完善地理信息公共服务体系，实现按需测绘，精准服务，全面提升测绘地理信息优质服务和支撑保障能力。</w:t>
      </w:r>
    </w:p>
    <w:p>
      <w:pPr>
        <w:widowControl/>
        <w:ind w:firstLine="562"/>
        <w:rPr>
          <w:rFonts w:cs="仿宋" w:asciiTheme="minorEastAsia" w:hAnsiTheme="minorEastAsia"/>
          <w:b/>
          <w:bCs/>
          <w:color w:val="000000"/>
          <w:kern w:val="0"/>
          <w:szCs w:val="28"/>
          <w:lang w:bidi="ar"/>
        </w:rPr>
      </w:pPr>
      <w:r>
        <w:rPr>
          <w:rFonts w:hint="eastAsia"/>
          <w:b/>
          <w:bCs/>
        </w:rPr>
        <w:t>——强化管理，保障安全。</w:t>
      </w:r>
      <w:r>
        <w:rPr>
          <w:rFonts w:hint="eastAsia"/>
        </w:rPr>
        <w:t>落实《测绘法》要求，依法实行基础测绘分级管理要求，履行测绘地理信息主管部门职责，健全管理体制机制，加强生产、使用、质量、保密等方面的监管，始终把安全贯穿于基础测绘发展的全过程，保障测绘地理信息安全。</w:t>
      </w:r>
    </w:p>
    <w:p>
      <w:pPr>
        <w:pStyle w:val="3"/>
        <w:spacing w:before="156" w:after="156"/>
        <w:rPr>
          <w:lang w:bidi="ar"/>
        </w:rPr>
      </w:pPr>
      <w:bookmarkStart w:id="27" w:name="_Toc90241812"/>
      <w:bookmarkStart w:id="28" w:name="_Toc3655"/>
      <w:r>
        <w:rPr>
          <w:rFonts w:hint="eastAsia"/>
          <w:lang w:bidi="ar"/>
        </w:rPr>
        <w:t>规划目标</w:t>
      </w:r>
      <w:bookmarkEnd w:id="27"/>
      <w:bookmarkEnd w:id="28"/>
    </w:p>
    <w:p>
      <w:pPr>
        <w:ind w:firstLine="560"/>
      </w:pPr>
      <w:r>
        <w:rPr>
          <w:rFonts w:hint="eastAsia"/>
          <w:lang w:bidi="ar"/>
        </w:rPr>
        <w:t>以《中华人民共和国测绘法》和《全国基础测绘中长期规划纲要（2015-2030年）》及《辽宁省测绘地理信息条例》为编制依据，准确把握机构改革后基础测绘发展所面临的体制环境、政策环境和技术环境，坚持服务大局、服务社会、服务民生，推动基础测绘为经济建设、国防建设、社会发展和生态保护提供服务。到2025年形成适应经济发展新常态的测绘地理信息体系，显著提升地理信息产业国民经济的贡献率，开创测绘地理信息事业发展的新格局。</w:t>
      </w:r>
    </w:p>
    <w:p>
      <w:pPr>
        <w:ind w:firstLine="562"/>
        <w:rPr>
          <w:lang w:bidi="ar"/>
        </w:rPr>
      </w:pPr>
      <w:r>
        <w:rPr>
          <w:rFonts w:hint="eastAsia"/>
          <w:b/>
          <w:bCs/>
        </w:rPr>
        <w:t>——进一步优化测绘基准体系。</w:t>
      </w:r>
      <w:r>
        <w:rPr>
          <w:lang w:bidi="ar"/>
        </w:rPr>
        <w:t>建设现代测绘基准体系，优化控制网结构，加强平面与高程控制网复测和测量标志维护更新，扩大控制范围，实现全面、高效、稳定的基准服务，为全</w:t>
      </w:r>
      <w:r>
        <w:rPr>
          <w:rFonts w:hint="eastAsia"/>
          <w:lang w:bidi="ar"/>
        </w:rPr>
        <w:t>市</w:t>
      </w:r>
      <w:r>
        <w:rPr>
          <w:lang w:bidi="ar"/>
        </w:rPr>
        <w:t>提供高精度、统一和可靠的测绘基准服务</w:t>
      </w:r>
      <w:r>
        <w:rPr>
          <w:rFonts w:hint="eastAsia"/>
          <w:lang w:bidi="ar"/>
        </w:rPr>
        <w:t>。</w:t>
      </w:r>
    </w:p>
    <w:p>
      <w:pPr>
        <w:ind w:firstLine="562"/>
      </w:pPr>
      <w:r>
        <w:rPr>
          <w:rFonts w:hint="eastAsia"/>
          <w:b/>
          <w:bCs/>
        </w:rPr>
        <w:t>——</w:t>
      </w:r>
      <w:r>
        <w:rPr>
          <w:b/>
          <w:bCs/>
        </w:rPr>
        <w:t>进一步丰富地理信息资源。</w:t>
      </w:r>
      <w:r>
        <w:rPr>
          <w:lang w:bidi="ar"/>
        </w:rPr>
        <w:t>完善基础地理信息数据获取与更新机制，动态更新全</w:t>
      </w:r>
      <w:r>
        <w:rPr>
          <w:rFonts w:hint="eastAsia"/>
          <w:lang w:bidi="ar"/>
        </w:rPr>
        <w:t>市</w:t>
      </w:r>
      <w:r>
        <w:rPr>
          <w:lang w:bidi="ar"/>
        </w:rPr>
        <w:t>基础地理信息资源，丰富基础测绘产品。推动自然资源三维立体时空数据库建设，提供精度更高、质量更优、更新更快、内容更全的新型地理信息资源产品</w:t>
      </w:r>
      <w:r>
        <w:rPr>
          <w:rFonts w:hint="eastAsia"/>
          <w:lang w:bidi="ar"/>
        </w:rPr>
        <w:t>。</w:t>
      </w:r>
    </w:p>
    <w:p>
      <w:pPr>
        <w:widowControl/>
        <w:adjustRightInd w:val="0"/>
        <w:ind w:firstLine="562"/>
        <w:rPr>
          <w:rFonts w:cs="仿宋" w:asciiTheme="minorEastAsia" w:hAnsiTheme="minorEastAsia"/>
          <w:color w:val="000000"/>
          <w:kern w:val="0"/>
          <w:szCs w:val="28"/>
          <w:lang w:bidi="ar"/>
        </w:rPr>
      </w:pPr>
      <w:r>
        <w:rPr>
          <w:rFonts w:hint="eastAsia" w:cs="仿宋" w:asciiTheme="minorEastAsia" w:hAnsiTheme="minorEastAsia"/>
          <w:b/>
          <w:bCs/>
          <w:color w:val="000000"/>
          <w:kern w:val="0"/>
          <w:szCs w:val="28"/>
          <w:lang w:bidi="ar"/>
        </w:rPr>
        <w:t>——</w:t>
      </w:r>
      <w:r>
        <w:rPr>
          <w:rFonts w:cs="仿宋" w:asciiTheme="minorEastAsia" w:hAnsiTheme="minorEastAsia"/>
          <w:b/>
          <w:bCs/>
          <w:color w:val="000000"/>
          <w:kern w:val="0"/>
          <w:szCs w:val="28"/>
          <w:lang w:bidi="ar"/>
        </w:rPr>
        <w:t>进一步提升公共服务保障。</w:t>
      </w:r>
      <w:r>
        <w:t>实现基础测绘成果供给更加有效。</w:t>
      </w:r>
      <w:r>
        <w:rPr>
          <w:rFonts w:hint="eastAsia"/>
        </w:rPr>
        <w:t>构建</w:t>
      </w:r>
      <w:r>
        <w:t>覆盖全</w:t>
      </w:r>
      <w:r>
        <w:rPr>
          <w:rFonts w:hint="eastAsia"/>
        </w:rPr>
        <w:t>市</w:t>
      </w:r>
      <w:r>
        <w:t>的应急测绘体系，拓展地理信息公共服务平台服务和应用能力，为各行各业提供集中统一、应用丰富、方便快捷的地理信息服务</w:t>
      </w:r>
      <w:r>
        <w:rPr>
          <w:rFonts w:hint="eastAsia"/>
        </w:rPr>
        <w:t>。</w:t>
      </w:r>
    </w:p>
    <w:p>
      <w:pPr>
        <w:pStyle w:val="2"/>
        <w:spacing w:before="156" w:after="156"/>
        <w:ind w:firstLine="562"/>
      </w:pPr>
      <w:bookmarkStart w:id="29" w:name="_Toc7278"/>
      <w:bookmarkStart w:id="30" w:name="_Toc90241813"/>
      <w:r>
        <w:rPr>
          <w:lang w:bidi="ar"/>
        </w:rPr>
        <w:t>主要任务和重点工程</w:t>
      </w:r>
      <w:bookmarkEnd w:id="29"/>
      <w:bookmarkEnd w:id="30"/>
    </w:p>
    <w:p>
      <w:pPr>
        <w:pStyle w:val="3"/>
        <w:spacing w:before="156" w:after="156"/>
      </w:pPr>
      <w:bookmarkStart w:id="31" w:name="_Toc90241814"/>
      <w:bookmarkStart w:id="32" w:name="_Toc16948"/>
      <w:r>
        <w:rPr>
          <w:rFonts w:hint="eastAsia"/>
        </w:rPr>
        <w:t>建立统一的现代测绘基准服务体系</w:t>
      </w:r>
      <w:bookmarkEnd w:id="31"/>
      <w:bookmarkEnd w:id="32"/>
    </w:p>
    <w:p>
      <w:pPr>
        <w:ind w:firstLine="560"/>
        <w:rPr>
          <w:rFonts w:hint="eastAsia"/>
          <w:lang w:bidi="ar"/>
        </w:rPr>
      </w:pPr>
      <w:r>
        <w:rPr>
          <w:rFonts w:hint="eastAsia"/>
          <w:lang w:bidi="ar"/>
        </w:rPr>
        <w:t>GNSS控制网建设。为了保证营口市现有规划、国土空间数据能够统一转换至CGCS2000坐标系，需要在营口市全域布设GNSS控制网。通过观测和数据处理，得到营口市现有各类坐标系统至CGCS2000坐标系的转换关系，从而实现现有的各类成果向CGCS2000坐标系的转换；得到GNSS控制网点的2000国家大地坐标系地心坐标，从而实现与辽宁省2000坐标系成果的完全统一。</w:t>
      </w:r>
    </w:p>
    <w:p>
      <w:pPr>
        <w:ind w:firstLine="560"/>
        <w:rPr>
          <w:rFonts w:hint="eastAsia"/>
          <w:lang w:bidi="ar"/>
        </w:rPr>
      </w:pPr>
      <w:r>
        <w:rPr>
          <w:rFonts w:hint="eastAsia"/>
        </w:rPr>
        <w:t>开展永久性测量标志点保护。摸清全市范围内各类测量</w:t>
      </w:r>
      <w:r>
        <w:rPr>
          <w:rFonts w:hint="eastAsia"/>
          <w:spacing w:val="-1"/>
        </w:rPr>
        <w:t>标志数量及现状。建立、完善测量标志管理机制，加强测量标志点数据库建设，建立稳定、有效的测量标志的保管、普查、维护维修、日常检查等工作机制，保证测量标志使用效能。加强营口市行政区域内测量标志日常管理和制度建设，结合测绘基准框架建设，维护省管、市管测量标志，更新测量标志点位信息数据库，全</w:t>
      </w:r>
      <w:r>
        <w:rPr>
          <w:rFonts w:hint="eastAsia"/>
        </w:rPr>
        <w:t>面实现永久性测量标志点信息化管理。</w:t>
      </w:r>
    </w:p>
    <w:p>
      <w:pPr>
        <w:pStyle w:val="3"/>
        <w:spacing w:before="156" w:after="156"/>
        <w:rPr>
          <w:rFonts w:hint="eastAsia"/>
          <w:lang w:bidi="ar"/>
        </w:rPr>
      </w:pPr>
      <w:bookmarkStart w:id="33" w:name="_Toc4450"/>
      <w:r>
        <w:rPr>
          <w:rFonts w:hint="eastAsia"/>
          <w:lang w:eastAsia="zh-CN" w:bidi="ar"/>
        </w:rPr>
        <w:t>完成多测合一建立多测合一管理系统</w:t>
      </w:r>
      <w:bookmarkEnd w:id="33"/>
    </w:p>
    <w:p>
      <w:pPr>
        <w:ind w:firstLine="560"/>
        <w:rPr>
          <w:rFonts w:hint="eastAsia"/>
        </w:rPr>
      </w:pPr>
      <w:r>
        <w:rPr>
          <w:rFonts w:hint="eastAsia"/>
        </w:rPr>
        <w:t>建立营口市2000坐标系，确定坐标系的各项参数，完成投影变形分析；建立营口市全域高程控制网，求取现有营口市各高程基准与国家1985国家高程基准的转换关系；完成营口市全域似大地水准面精化，精度水平达到厘米级；完成营口市现有各GNSS单基站的合并，构建起覆盖营口市全域的连续运行参考站系统（简称YKCORS）；完成营口市现有各类规划、国土空间数据从现有坐标系统向营口市2000坐标系的转换并评估精度水平；完成营口市2000坐标系与辽宁省2000坐标系之间的差异分析。</w:t>
      </w:r>
    </w:p>
    <w:p>
      <w:pPr>
        <w:ind w:firstLine="560"/>
        <w:rPr>
          <w:rFonts w:hint="eastAsia" w:eastAsia="仿宋_GB2312"/>
          <w:lang w:eastAsia="zh-CN"/>
        </w:rPr>
      </w:pPr>
      <w:r>
        <w:rPr>
          <w:rFonts w:hint="eastAsia"/>
          <w:lang w:eastAsia="zh-CN"/>
        </w:rPr>
        <w:t>搭建多测合一管理系统，开放面向建设单位、测绘单位等用户的网上办事大厅；利用项目管理系统对多测合一项目进行全流程管理，提供项目受理、合同备案、基础数据下载和项目监管等服务，实现项目的全流程管理；依据“双随机、</w:t>
      </w:r>
      <w:bookmarkStart w:id="56" w:name="_GoBack"/>
      <w:bookmarkEnd w:id="56"/>
      <w:r>
        <w:rPr>
          <w:rFonts w:hint="eastAsia"/>
          <w:lang w:eastAsia="zh-CN"/>
        </w:rPr>
        <w:t>一公开”的原则，对多测合一项目进行事中事后监管，加强对测绘项目的管理；建成成果管理系统，对提供的测绘成果进行入库和管理。</w:t>
      </w:r>
    </w:p>
    <w:p>
      <w:pPr>
        <w:pStyle w:val="3"/>
        <w:spacing w:before="156" w:after="156"/>
        <w:rPr>
          <w:lang w:bidi="ar"/>
        </w:rPr>
      </w:pPr>
      <w:bookmarkStart w:id="34" w:name="_Toc90241815"/>
      <w:bookmarkStart w:id="35" w:name="_Toc3782"/>
      <w:r>
        <w:rPr>
          <w:rFonts w:hint="eastAsia"/>
          <w:lang w:bidi="ar"/>
        </w:rPr>
        <w:t>推进城区遥感影像统筹获取与处理</w:t>
      </w:r>
      <w:bookmarkEnd w:id="34"/>
      <w:bookmarkEnd w:id="35"/>
    </w:p>
    <w:p>
      <w:pPr>
        <w:ind w:firstLine="616"/>
      </w:pPr>
      <w:r>
        <w:rPr>
          <w:rFonts w:hint="eastAsia"/>
          <w:spacing w:val="14"/>
        </w:rPr>
        <w:t>航空航天遥感影像获取与更新。实施市域基础航空摄</w:t>
      </w:r>
      <w:r>
        <w:rPr>
          <w:rFonts w:hint="eastAsia"/>
        </w:rPr>
        <w:t>影，获取遥感影像数据。周期性开展基础航空摄影，实现全市范围遥感影像2米分辨率季度覆盖，1米分辨率半年覆盖，0.5米分辨率三年覆盖。沿海陆域、海岛、边少地区、城市建成区等重点区域及时覆盖。</w:t>
      </w:r>
    </w:p>
    <w:p>
      <w:pPr>
        <w:ind w:firstLine="560"/>
      </w:pPr>
      <w:r>
        <w:rPr>
          <w:rFonts w:hint="eastAsia"/>
        </w:rPr>
        <w:t>在全市选择有条件的地区按需逐步开展常规航空摄影和倾斜航空摄影工作，做到常规航空摄影和倾斜航空摄影成果的及时覆盖，及时更新。至2025年做到城区范围内常规航空摄影和倾斜航空摄影全覆盖。</w:t>
      </w:r>
    </w:p>
    <w:p>
      <w:pPr>
        <w:pStyle w:val="3"/>
        <w:spacing w:before="156" w:after="156"/>
      </w:pPr>
      <w:bookmarkStart w:id="36" w:name="_Toc90241816"/>
      <w:bookmarkStart w:id="37" w:name="_Toc4221"/>
      <w:r>
        <w:rPr>
          <w:rFonts w:hint="eastAsia"/>
        </w:rPr>
        <w:t>进一步完善建成区、规划区多尺度地理信息覆盖和更新工作</w:t>
      </w:r>
      <w:bookmarkEnd w:id="36"/>
      <w:bookmarkEnd w:id="37"/>
    </w:p>
    <w:p>
      <w:pPr>
        <w:ind w:firstLine="560"/>
      </w:pPr>
      <w:r>
        <w:rPr>
          <w:rFonts w:hint="eastAsia"/>
        </w:rPr>
        <w:t>进一步完善营口市建成区1:500比例尺地形图的覆盖，至2025年完成大石桥市、鲅鱼圈、盖州市</w:t>
      </w:r>
      <w:r>
        <w:rPr>
          <w:rFonts w:hint="eastAsia"/>
          <w:lang w:val="en-US" w:eastAsia="zh-CN"/>
        </w:rPr>
        <w:t>建成区</w:t>
      </w:r>
      <w:r>
        <w:rPr>
          <w:rFonts w:hint="eastAsia"/>
        </w:rPr>
        <w:t>（含北海新区，</w:t>
      </w:r>
      <w:r>
        <w:rPr>
          <w:rFonts w:hint="eastAsia"/>
          <w:lang w:val="en-US" w:eastAsia="zh-CN"/>
        </w:rPr>
        <w:t>不含</w:t>
      </w:r>
      <w:r>
        <w:rPr>
          <w:rFonts w:hint="eastAsia"/>
        </w:rPr>
        <w:t>仙人岛）1:500比例尺地形图的覆盖。持续更新老城区（含站前区，西市区，老边区）1:500地形图成果。</w:t>
      </w:r>
    </w:p>
    <w:p>
      <w:pPr>
        <w:ind w:firstLine="560"/>
      </w:pPr>
      <w:r>
        <w:rPr>
          <w:rFonts w:hint="eastAsia"/>
        </w:rPr>
        <w:t>进一步完善规划区1:1000或1:2000比例尺地形图覆盖，至2025年实现规划区范围内1:1000或1:2000比例尺地形图的全覆盖。</w:t>
      </w:r>
    </w:p>
    <w:p>
      <w:pPr>
        <w:ind w:firstLine="560"/>
        <w:rPr>
          <w:rFonts w:cs="仿宋" w:asciiTheme="minorEastAsia" w:hAnsiTheme="minorEastAsia"/>
          <w:szCs w:val="28"/>
        </w:rPr>
      </w:pPr>
      <w:r>
        <w:rPr>
          <w:rFonts w:hint="eastAsia" w:cs="仿宋" w:asciiTheme="minorEastAsia" w:hAnsiTheme="minorEastAsia"/>
          <w:szCs w:val="28"/>
        </w:rPr>
        <w:t>维持地理测绘成果的现势性，准确性和可实用性，以达到为各行业的应用提供高效服务的目的。</w:t>
      </w:r>
    </w:p>
    <w:p>
      <w:pPr>
        <w:pStyle w:val="3"/>
        <w:spacing w:before="156" w:after="156"/>
        <w:rPr>
          <w:rFonts w:cs="黑体"/>
          <w:lang w:bidi="ar"/>
        </w:rPr>
      </w:pPr>
      <w:bookmarkStart w:id="38" w:name="_Toc11680"/>
      <w:bookmarkStart w:id="39" w:name="_Toc90241817"/>
      <w:r>
        <w:rPr>
          <w:rFonts w:hint="eastAsia"/>
          <w:lang w:bidi="ar"/>
        </w:rPr>
        <w:t>加快新型基础测绘地理场景产品的构建</w:t>
      </w:r>
      <w:bookmarkEnd w:id="38"/>
      <w:bookmarkEnd w:id="39"/>
    </w:p>
    <w:p>
      <w:pPr>
        <w:ind w:firstLine="560"/>
        <w:rPr>
          <w:rFonts w:hint="eastAsia"/>
        </w:rPr>
      </w:pPr>
      <w:r>
        <w:rPr>
          <w:rFonts w:hint="eastAsia"/>
        </w:rPr>
        <w:t>新型测绘通过激光点云到全景照片等多样化的“智能化全息测绘”手段，在智能化全息数据采集、地理实体构建、数据分发、产品服务等方面进行开创性探索，发展以地理实体为主要表现形式的新型基础测绘地理场景产品，构建地上地下、室内室外一体化的三维场景数据，整合多源三维场景数据及二维专题数据，建设一个多源数据集成、多尺度融合的二三维一体化数据库。结合本市级城市数字表面模型、三维实景模型、街景数据和</w:t>
      </w:r>
      <w:r>
        <w:rPr>
          <w:rFonts w:hint="eastAsia"/>
          <w:spacing w:val="1"/>
        </w:rPr>
        <w:t>地下空间数据，来探索城市信息模型（</w:t>
      </w:r>
      <w:r>
        <w:rPr>
          <w:rFonts w:hint="eastAsia"/>
        </w:rPr>
        <w:t>CIM</w:t>
      </w:r>
      <w:r>
        <w:rPr>
          <w:rFonts w:hint="eastAsia"/>
          <w:spacing w:val="1"/>
        </w:rPr>
        <w:t>）基础平台试点</w:t>
      </w:r>
      <w:r>
        <w:rPr>
          <w:rFonts w:hint="eastAsia"/>
        </w:rPr>
        <w:t>建设，实现地上建筑、地下空间、城市实景三维和城市精细三维的集成，构建新型基础测绘地理场景，为城市智慧化提供真实的环境支撑。</w:t>
      </w:r>
    </w:p>
    <w:p>
      <w:pPr>
        <w:pStyle w:val="3"/>
        <w:spacing w:before="156" w:after="156"/>
        <w:rPr>
          <w:rFonts w:cs="黑体"/>
          <w:lang w:bidi="ar"/>
        </w:rPr>
      </w:pPr>
      <w:bookmarkStart w:id="40" w:name="_Toc32660"/>
      <w:r>
        <w:rPr>
          <w:rFonts w:hint="eastAsia"/>
          <w:lang w:eastAsia="zh-CN" w:bidi="ar"/>
        </w:rPr>
        <w:t>增加测绘资料档案管理部门</w:t>
      </w:r>
      <w:bookmarkEnd w:id="40"/>
    </w:p>
    <w:p>
      <w:pPr>
        <w:ind w:firstLine="560"/>
        <w:outlineLvl w:val="9"/>
        <w:rPr>
          <w:rFonts w:hint="eastAsia"/>
          <w:lang w:val="en-US" w:eastAsia="zh-CN"/>
        </w:rPr>
      </w:pPr>
      <w:r>
        <w:rPr>
          <w:rFonts w:hint="eastAsia"/>
          <w:lang w:eastAsia="zh-CN"/>
        </w:rPr>
        <w:t>依据《中华人民共和国测绘成果管理条例》和《中华人民共和国档案法》，增加测绘资料档案管理部门，完善测绘成果的整理、归档，实现测绘成果的规范化管理。数据成果每年抽取不少于</w:t>
      </w:r>
      <w:r>
        <w:rPr>
          <w:rFonts w:hint="eastAsia"/>
          <w:lang w:val="en-US" w:eastAsia="zh-CN"/>
        </w:rPr>
        <w:t>5%进行读取检查，发现问题及时更换载体或抢救恢复；纸质档案做到保密、防虫、防霉、防盗，定期检查档案保管情况，对破损、变质的档案资料及时上报并恰当处理。</w:t>
      </w:r>
    </w:p>
    <w:p>
      <w:pPr>
        <w:ind w:firstLine="560"/>
        <w:outlineLvl w:val="9"/>
        <w:rPr>
          <w:rFonts w:hint="eastAsia"/>
          <w:lang w:eastAsia="zh-CN"/>
        </w:rPr>
      </w:pPr>
      <w:r>
        <w:rPr>
          <w:rFonts w:hint="eastAsia"/>
          <w:lang w:eastAsia="zh-CN"/>
        </w:rPr>
        <w:t>形成完善的借阅机制制度，借阅者必须登记借阅表，对不同类别和内容的成果严格进行保密分级，不同保密级别的成果需由专门的人员（或领导）进行审批后方可借阅。对于应还未还或损坏、损毁借阅资料档案的，责令相关借阅者归还，修复或赔偿借阅资料档案，必要时追究相关借阅者的法律责任。形成黑名单制度，对失信的借阅单位或个人拒绝其借阅测绘资料档案。</w:t>
      </w:r>
    </w:p>
    <w:p>
      <w:pPr>
        <w:pStyle w:val="3"/>
        <w:spacing w:before="156" w:after="156"/>
        <w:rPr>
          <w:color w:val="0000FF"/>
        </w:rPr>
      </w:pPr>
      <w:bookmarkStart w:id="41" w:name="_Toc90241818"/>
      <w:bookmarkStart w:id="42" w:name="_Toc7441"/>
      <w:r>
        <w:rPr>
          <w:rFonts w:hint="eastAsia"/>
          <w:lang w:bidi="ar"/>
        </w:rPr>
        <w:t>提供高效的自然资源管理服务支撑和成果共享</w:t>
      </w:r>
      <w:bookmarkEnd w:id="41"/>
      <w:bookmarkEnd w:id="42"/>
    </w:p>
    <w:p>
      <w:pPr>
        <w:ind w:firstLine="560"/>
        <w:rPr>
          <w:rFonts w:hint="eastAsia"/>
          <w:lang w:bidi="ar"/>
        </w:rPr>
      </w:pPr>
      <w:r>
        <w:rPr>
          <w:rFonts w:hint="eastAsia"/>
          <w:lang w:bidi="ar"/>
        </w:rPr>
        <w:t>搭建基础测绘“一张图”数据基底，整合全市自然资源相关的各类地理空间基础测绘数据，形成坐标一致、边界吻合、上下贯通的一张底图，为自然资源管理工作提供重要的数据支撑。开展地理信息公共服务平台(天地图)的建设，整合集成各类地理空间数据，构建全市统一的时空数据库和时空信息大数据平台，推进地理信息公共服务平台从提供基础地理信息公共服务向提供时空信息综合公共服务升级。做好平台的数据服务更新、运行维护和应用推广，为营口市自然资源“一张图”、实景三维、数字空间地理基础数据库等系统建设提供数据服务支撑，着力发挥平台在政务应用中的支撑作用，促进成果共享。</w:t>
      </w:r>
    </w:p>
    <w:p>
      <w:pPr>
        <w:pStyle w:val="3"/>
        <w:spacing w:before="156" w:after="156"/>
        <w:rPr>
          <w:lang w:bidi="ar"/>
        </w:rPr>
      </w:pPr>
      <w:bookmarkStart w:id="43" w:name="_Toc7231"/>
      <w:r>
        <w:rPr>
          <w:rFonts w:hint="eastAsia"/>
          <w:lang w:eastAsia="zh-CN" w:bidi="ar"/>
        </w:rPr>
        <w:t>促进应急测绘保障体系建设</w:t>
      </w:r>
      <w:bookmarkEnd w:id="43"/>
    </w:p>
    <w:p>
      <w:pPr>
        <w:ind w:firstLine="560"/>
        <w:rPr>
          <w:rFonts w:hint="eastAsia"/>
          <w:lang w:bidi="ar"/>
        </w:rPr>
      </w:pPr>
      <w:r>
        <w:rPr>
          <w:rFonts w:hint="eastAsia"/>
          <w:lang w:bidi="ar"/>
        </w:rPr>
        <w:t>“十四五”时期要加强应急测绘信息资源库建设，有效整合利用全</w:t>
      </w:r>
      <w:r>
        <w:rPr>
          <w:rFonts w:hint="eastAsia"/>
          <w:lang w:eastAsia="zh-CN" w:bidi="ar"/>
        </w:rPr>
        <w:t>市</w:t>
      </w:r>
      <w:r>
        <w:rPr>
          <w:rFonts w:hint="eastAsia"/>
          <w:lang w:bidi="ar"/>
        </w:rPr>
        <w:t>应急地理信息资源。着力获取本</w:t>
      </w:r>
      <w:r>
        <w:rPr>
          <w:rFonts w:hint="eastAsia"/>
          <w:lang w:eastAsia="zh-CN" w:bidi="ar"/>
        </w:rPr>
        <w:t>市</w:t>
      </w:r>
      <w:r>
        <w:rPr>
          <w:rFonts w:hint="eastAsia"/>
          <w:lang w:bidi="ar"/>
        </w:rPr>
        <w:t>级各类自然灾害隐患区域高分辨率、多时态基础地理信息数据。与应急信息数据资源进行整合，建立应急测绘基础信息资源库。针对全</w:t>
      </w:r>
      <w:r>
        <w:rPr>
          <w:rFonts w:hint="eastAsia"/>
          <w:lang w:eastAsia="zh-CN" w:bidi="ar"/>
        </w:rPr>
        <w:t>市</w:t>
      </w:r>
      <w:r>
        <w:rPr>
          <w:rFonts w:hint="eastAsia"/>
          <w:lang w:bidi="ar"/>
        </w:rPr>
        <w:t>灾情地理分布，合理安排应急测绘保障资源。建设</w:t>
      </w:r>
      <w:r>
        <w:rPr>
          <w:rFonts w:hint="eastAsia"/>
          <w:lang w:eastAsia="zh-CN" w:bidi="ar"/>
        </w:rPr>
        <w:t>市</w:t>
      </w:r>
      <w:r>
        <w:rPr>
          <w:rFonts w:hint="eastAsia"/>
          <w:lang w:bidi="ar"/>
        </w:rPr>
        <w:t>级应急管理信息系统平台，完善全</w:t>
      </w:r>
      <w:r>
        <w:rPr>
          <w:rFonts w:hint="eastAsia"/>
          <w:lang w:eastAsia="zh-CN" w:bidi="ar"/>
        </w:rPr>
        <w:t>市</w:t>
      </w:r>
      <w:r>
        <w:rPr>
          <w:rFonts w:hint="eastAsia"/>
          <w:lang w:bidi="ar"/>
        </w:rPr>
        <w:t>测绘应急保障预案。建立快速高效的测绘应急保障服务工作机制，细化测绘应急保障工作。定期组织县级测绘保障应急演练，加强人员的技术培训，提升快速获取与处理灾后地理信息数据的能力，建成服务于突发事件的事前预防、事发应对、事中处置和善后恢复全过程的应急测绘保障服务技术体系。</w:t>
      </w:r>
    </w:p>
    <w:p>
      <w:pPr>
        <w:pStyle w:val="3"/>
        <w:spacing w:before="156" w:after="156"/>
        <w:rPr>
          <w:lang w:bidi="ar"/>
        </w:rPr>
      </w:pPr>
      <w:bookmarkStart w:id="44" w:name="_Toc90241819"/>
      <w:bookmarkStart w:id="45" w:name="_Toc8883"/>
      <w:r>
        <w:rPr>
          <w:rFonts w:hint="eastAsia"/>
          <w:lang w:bidi="ar"/>
        </w:rPr>
        <w:t>健全完善的基础测绘安全与管理体制</w:t>
      </w:r>
      <w:bookmarkEnd w:id="44"/>
      <w:bookmarkEnd w:id="45"/>
    </w:p>
    <w:p>
      <w:pPr>
        <w:ind w:firstLine="560"/>
        <w:rPr>
          <w:lang w:bidi="ar"/>
        </w:rPr>
      </w:pPr>
      <w:r>
        <w:rPr>
          <w:rFonts w:hint="eastAsia"/>
          <w:lang w:bidi="ar"/>
        </w:rPr>
        <w:t>地理信息安全监管建设。要进一步完善有关基础测绘成果保管制度，安排专人，落实职责，配备必要、专用的计算机设备进行管理。要强化基础测绘成果的保密和统一监管，定期检查基础测绘成果的保密、汇交和使用情况，推进地理信息安全监管机制实施。做好涉密信息分级管理，健全涉密成果使用管理制度，完善网上地理信息安全监管机制。加强对本市测绘活动的监管，完善在重要军事目标周边开展测绘活动的联合监管机制。</w:t>
      </w:r>
    </w:p>
    <w:p>
      <w:pPr>
        <w:ind w:firstLine="560"/>
        <w:rPr>
          <w:rFonts w:hint="eastAsia"/>
          <w:lang w:bidi="ar"/>
        </w:rPr>
      </w:pPr>
      <w:r>
        <w:rPr>
          <w:rFonts w:hint="eastAsia"/>
          <w:lang w:bidi="ar"/>
        </w:rPr>
        <w:t>基础测绘管理体制建设。根据《辽宁省测绘地理信息条例》《辽宁省测绘管理条例》等规定的要求，落实和强化营口市基础测绘管理体制和职责，健全内设机构并合理增加测绘相关工作人员。加快基础测绘执法监管制度建设，全面提升测绘依法行政能力和水平，为基础测绘发展提供制度保障。</w:t>
      </w:r>
    </w:p>
    <w:p>
      <w:pPr>
        <w:pStyle w:val="2"/>
        <w:spacing w:before="156" w:after="156"/>
        <w:ind w:firstLine="562"/>
        <w:rPr>
          <w:lang w:bidi="ar"/>
        </w:rPr>
      </w:pPr>
      <w:bookmarkStart w:id="46" w:name="_Toc8844"/>
      <w:bookmarkStart w:id="47" w:name="_Toc90241820"/>
      <w:r>
        <w:rPr>
          <w:rFonts w:hint="eastAsia"/>
          <w:lang w:bidi="ar"/>
        </w:rPr>
        <w:t>保障措施</w:t>
      </w:r>
      <w:bookmarkEnd w:id="46"/>
      <w:bookmarkEnd w:id="47"/>
    </w:p>
    <w:p>
      <w:pPr>
        <w:pStyle w:val="3"/>
        <w:spacing w:before="156" w:after="156"/>
        <w:rPr>
          <w:lang w:bidi="ar"/>
        </w:rPr>
      </w:pPr>
      <w:bookmarkStart w:id="48" w:name="_Toc90241821"/>
      <w:bookmarkStart w:id="49" w:name="_Toc19407"/>
      <w:r>
        <w:rPr>
          <w:rFonts w:hint="eastAsia"/>
          <w:lang w:bidi="ar"/>
        </w:rPr>
        <w:t>政策制度保障</w:t>
      </w:r>
      <w:bookmarkEnd w:id="48"/>
      <w:bookmarkEnd w:id="49"/>
    </w:p>
    <w:p>
      <w:pPr>
        <w:ind w:firstLine="560"/>
      </w:pPr>
      <w:r>
        <w:rPr>
          <w:rFonts w:hint="eastAsia"/>
          <w:lang w:bidi="ar"/>
        </w:rPr>
        <w:t>测绘法律法规是保障和促进测绘事业发展的基础条件，认真贯彻落实《中华人民共和国测绘法》、《辽宁省测绘管理条例》，研究制定和完善基础测绘项目管理、基础测绘产品质量管理、基础测绘成果利用与管理等方面规范性文件，加快法规政策体系建设。健全营口市地理信息安全、地理信息共享应用、应急测绘等方面的法规制度。完善测绘地理信息资质、市场监管和信用管理的挂钩政策。强化测绘地理信息行政执法队伍建设，完善与自然资源等综合执法工作机制，有效提升测绘地理信息行政执法的政策依据和效能。</w:t>
      </w:r>
    </w:p>
    <w:p>
      <w:pPr>
        <w:pStyle w:val="3"/>
        <w:spacing w:before="156" w:after="156"/>
      </w:pPr>
      <w:bookmarkStart w:id="50" w:name="_Toc28235"/>
      <w:bookmarkStart w:id="51" w:name="_Toc90241822"/>
      <w:r>
        <w:rPr>
          <w:rFonts w:hint="eastAsia"/>
          <w:lang w:bidi="ar"/>
        </w:rPr>
        <w:t>组织监管保障</w:t>
      </w:r>
      <w:bookmarkEnd w:id="50"/>
      <w:bookmarkEnd w:id="51"/>
    </w:p>
    <w:p>
      <w:pPr>
        <w:ind w:firstLine="560"/>
        <w:rPr>
          <w:color w:val="000000"/>
        </w:rPr>
      </w:pPr>
      <w:r>
        <w:rPr>
          <w:rFonts w:hint="eastAsia"/>
          <w:lang w:bidi="ar"/>
        </w:rPr>
        <w:t>基础测绘规划实施涉及</w:t>
      </w:r>
      <w:r>
        <w:rPr>
          <w:rFonts w:hint="eastAsia"/>
          <w:lang w:val="en-US" w:eastAsia="zh-CN" w:bidi="ar"/>
        </w:rPr>
        <w:t>发改委、财政局、</w:t>
      </w:r>
      <w:r>
        <w:rPr>
          <w:rFonts w:hint="eastAsia"/>
          <w:lang w:bidi="ar"/>
        </w:rPr>
        <w:t>自然资源</w:t>
      </w:r>
      <w:r>
        <w:rPr>
          <w:rFonts w:hint="eastAsia"/>
          <w:lang w:val="en-US" w:eastAsia="zh-CN" w:bidi="ar"/>
        </w:rPr>
        <w:t>局</w:t>
      </w:r>
      <w:r>
        <w:rPr>
          <w:rFonts w:hint="eastAsia"/>
          <w:lang w:bidi="ar"/>
        </w:rPr>
        <w:t>、应急</w:t>
      </w:r>
      <w:r>
        <w:rPr>
          <w:rFonts w:hint="eastAsia"/>
          <w:lang w:val="en-US" w:eastAsia="zh-CN" w:bidi="ar"/>
        </w:rPr>
        <w:t>局</w:t>
      </w:r>
      <w:r>
        <w:rPr>
          <w:rFonts w:hint="eastAsia"/>
          <w:lang w:bidi="ar"/>
        </w:rPr>
        <w:t>、交通</w:t>
      </w:r>
      <w:r>
        <w:rPr>
          <w:rFonts w:hint="eastAsia"/>
          <w:lang w:val="en-US" w:eastAsia="zh-CN" w:bidi="ar"/>
        </w:rPr>
        <w:t>局</w:t>
      </w:r>
      <w:r>
        <w:rPr>
          <w:rFonts w:hint="eastAsia"/>
          <w:lang w:bidi="ar"/>
        </w:rPr>
        <w:t>、水利</w:t>
      </w:r>
      <w:r>
        <w:rPr>
          <w:rFonts w:hint="eastAsia"/>
          <w:lang w:val="en-US" w:eastAsia="zh-CN" w:bidi="ar"/>
        </w:rPr>
        <w:t>局</w:t>
      </w:r>
      <w:r>
        <w:rPr>
          <w:rFonts w:hint="eastAsia"/>
          <w:lang w:eastAsia="zh-CN" w:bidi="ar"/>
        </w:rPr>
        <w:t>、</w:t>
      </w:r>
      <w:r>
        <w:rPr>
          <w:rFonts w:hint="eastAsia"/>
          <w:lang w:val="en-US" w:eastAsia="zh-CN" w:bidi="ar"/>
        </w:rPr>
        <w:t>林草局、农业农村局、生态环境局、大数据局、各县（市）区人民政府</w:t>
      </w:r>
      <w:r>
        <w:rPr>
          <w:rFonts w:hint="eastAsia"/>
          <w:lang w:bidi="ar"/>
        </w:rPr>
        <w:t>等多个部门，因此，应在</w:t>
      </w:r>
      <w:r>
        <w:rPr>
          <w:rFonts w:hint="eastAsia"/>
          <w:lang w:val="en-US" w:eastAsia="zh-CN" w:bidi="ar"/>
        </w:rPr>
        <w:t>各级</w:t>
      </w:r>
      <w:r>
        <w:rPr>
          <w:rFonts w:hint="eastAsia"/>
          <w:lang w:bidi="ar"/>
        </w:rPr>
        <w:t>政府统一领导下，由本级测绘行政主管部门主导，相关部门参与，按照“统一组织、分工协作、共建共享”的原则，建立基础测绘统筹协调工作机制，协调推进全市的基础测绘工作。市自然资源局要切实履行测绘行政管理职责，制定和完善基础测绘管理办法，采取有效措施，加强基础测绘项目具体组织实施管理，确保基础测绘规划确定的目标和主要任务落实到位。要加强对基础测绘项目实施全过程的监督管理，按照公平、公正、公开、择优的原则确定具有相应测绘资质的单位承担基础测绘项目。建立完善基础测绘项目报告制度和检查制度，基础测绘项目竣工后，应根据基础测绘项目管理要求和国家有关测绘产品质量标准，对基础测绘项目和成果质量进行全面的检查验收，以确保基础测绘成果的质量。</w:t>
      </w:r>
    </w:p>
    <w:p>
      <w:pPr>
        <w:pStyle w:val="3"/>
        <w:spacing w:before="156" w:after="156"/>
      </w:pPr>
      <w:bookmarkStart w:id="52" w:name="_Toc90241823"/>
      <w:bookmarkStart w:id="53" w:name="_Toc8697"/>
      <w:r>
        <w:rPr>
          <w:rFonts w:hint="eastAsia"/>
          <w:lang w:bidi="ar"/>
        </w:rPr>
        <w:t>经费投入保障</w:t>
      </w:r>
      <w:bookmarkEnd w:id="52"/>
      <w:bookmarkEnd w:id="53"/>
    </w:p>
    <w:p>
      <w:pPr>
        <w:ind w:firstLine="560"/>
      </w:pPr>
      <w:r>
        <w:rPr>
          <w:rFonts w:hint="eastAsia"/>
          <w:lang w:bidi="ar"/>
        </w:rPr>
        <w:t>基础测绘是公益性事业，政府应加大投入力度，并落实《中华人民共和国测绘法》“县级以上地方人民政府应当将基础测绘纳入本级国民经济和社会发展年度计划及财政预算”的规定，将基础测绘作为基础建设项目纳入</w:t>
      </w:r>
      <w:r>
        <w:rPr>
          <w:rFonts w:hint="eastAsia"/>
          <w:lang w:val="en-US" w:eastAsia="zh-CN" w:bidi="ar"/>
        </w:rPr>
        <w:t>同级</w:t>
      </w:r>
      <w:r>
        <w:rPr>
          <w:rFonts w:hint="eastAsia"/>
          <w:lang w:bidi="ar"/>
        </w:rPr>
        <w:t>财政预算，确保规划目标的资金落实，保障规划顺利实施。同时建立健全资金使用管理制度，严格项目管理和审计监督，财政部门会同自然资源部门对基础测绘经费的管理和使用情况进行监督、检查。自然资源主管部门应与财政部门沟通协调，科学编制年度计划及财政预算，争取加大财政投入，同时，充分发挥市场机制作用，积极引导社会资本参与基础测绘事业发展，为基础测绘健康发展和服务能力持续提升夯实基础。建立稳定的投入机制，完善经费使用管理制度，积极做好资金支出进度和绩效管理工作，确保财政资金的安全、规范，确保项目遵照规划意图高效实施，充分发挥财政资金的使用效益，最大程度保障重点工程、重点项目的顺利实施。</w:t>
      </w:r>
    </w:p>
    <w:p>
      <w:pPr>
        <w:pStyle w:val="3"/>
        <w:spacing w:before="156" w:after="156"/>
      </w:pPr>
      <w:bookmarkStart w:id="54" w:name="_Toc90241824"/>
      <w:bookmarkStart w:id="55" w:name="_Toc5050"/>
      <w:r>
        <w:rPr>
          <w:rFonts w:hint="eastAsia"/>
          <w:lang w:bidi="ar"/>
        </w:rPr>
        <w:t>安全措施保障</w:t>
      </w:r>
      <w:bookmarkEnd w:id="54"/>
      <w:bookmarkEnd w:id="55"/>
    </w:p>
    <w:p>
      <w:pPr>
        <w:ind w:firstLine="560"/>
      </w:pPr>
      <w:r>
        <w:rPr>
          <w:rFonts w:hint="eastAsia"/>
          <w:lang w:bidi="ar"/>
        </w:rPr>
        <w:t>基础地理信息涉及国家安全，在管理措施和技术措施方面，要加强网络信息资源的安全保护，加强对基础地理信息使用和网络数据交换等方面的保密安全系统建设，在努力实现资源共享的同时，坚守保密红线，维护国家安全和利益。安排专人，落实职责，配备专用的计算机设备进行测绘成果保密管理。要强化基础测绘成果的保密和统一监管，定期检查基础测绘成果的保密、汇交和使用情况。加强全市地理信息安全保密管理，针对涉密地理信息成果存储、管理和使用等方面存在的问题，健全规范管理制度，建立监管长效机制，全面落实保密防护措施，确保涉密地理信息成果安全。</w:t>
      </w:r>
    </w:p>
    <w:sectPr>
      <w:headerReference r:id="rId12" w:type="default"/>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191521"/>
      <w:docPartObj>
        <w:docPartGallery w:val="autotext"/>
      </w:docPartObj>
    </w:sdtPr>
    <w:sdtContent>
      <w:p>
        <w:pPr>
          <w:pStyle w:val="5"/>
          <w:spacing w:before="120" w:after="120"/>
          <w:ind w:firstLine="5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041935"/>
      <w:docPartObj>
        <w:docPartGallery w:val="autotext"/>
      </w:docPartObj>
    </w:sdtPr>
    <w:sdtContent>
      <w:p>
        <w:pPr>
          <w:pStyle w:val="5"/>
          <w:spacing w:before="120" w:after="120"/>
          <w:ind w:firstLine="5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80"/>
      <w:jc w:val="right"/>
      <w:rPr>
        <w:rFonts w:ascii="仿宋" w:eastAsia="仿宋" w:cs="仿宋"/>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ind w:firstLine="480"/>
      <w:jc w:val="right"/>
      <w:rPr>
        <w:rFonts w:ascii="仿宋" w:eastAsia="仿宋" w:cs="仿宋"/>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A0A77"/>
    <w:multiLevelType w:val="multilevel"/>
    <w:tmpl w:val="453A0A77"/>
    <w:lvl w:ilvl="0" w:tentative="0">
      <w:start w:val="1"/>
      <w:numFmt w:val="koreanDigital2"/>
      <w:pStyle w:val="2"/>
      <w:suff w:val="nothing"/>
      <w:lvlText w:val="%1、"/>
      <w:lvlJc w:val="left"/>
      <w:pPr>
        <w:ind w:left="0" w:firstLine="425"/>
      </w:pPr>
      <w:rPr>
        <w:rFonts w:hint="eastAsia" w:eastAsia="黑体"/>
        <w:b/>
        <w:i w:val="0"/>
        <w:sz w:val="28"/>
      </w:rPr>
    </w:lvl>
    <w:lvl w:ilvl="1" w:tentative="0">
      <w:start w:val="1"/>
      <w:numFmt w:val="koreanDigital2"/>
      <w:pStyle w:val="3"/>
      <w:suff w:val="nothing"/>
      <w:lvlText w:val="（%2）"/>
      <w:lvlJc w:val="left"/>
      <w:pPr>
        <w:ind w:left="0" w:firstLine="425"/>
      </w:pPr>
      <w:rPr>
        <w:rFonts w:hint="eastAsia" w:ascii="楷体" w:hAnsi="楷体" w:eastAsia="楷体"/>
        <w:color w:val="auto"/>
      </w:rPr>
    </w:lvl>
    <w:lvl w:ilvl="2" w:tentative="0">
      <w:start w:val="1"/>
      <w:numFmt w:val="decimal"/>
      <w:lvlText w:val="%1.%2.%3"/>
      <w:lvlJc w:val="left"/>
      <w:pPr>
        <w:ind w:left="0" w:firstLine="425"/>
      </w:pPr>
      <w:rPr>
        <w:rFonts w:hint="eastAsia"/>
      </w:rPr>
    </w:lvl>
    <w:lvl w:ilvl="3" w:tentative="0">
      <w:start w:val="1"/>
      <w:numFmt w:val="decimal"/>
      <w:lvlText w:val="%1.%2.%3.%4"/>
      <w:lvlJc w:val="left"/>
      <w:pPr>
        <w:ind w:left="0" w:firstLine="425"/>
      </w:pPr>
      <w:rPr>
        <w:rFonts w:hint="eastAsia"/>
      </w:rPr>
    </w:lvl>
    <w:lvl w:ilvl="4" w:tentative="0">
      <w:start w:val="1"/>
      <w:numFmt w:val="decimal"/>
      <w:lvlText w:val="%1.%2.%3.%4.%5"/>
      <w:lvlJc w:val="left"/>
      <w:pPr>
        <w:ind w:left="0" w:firstLine="425"/>
      </w:pPr>
      <w:rPr>
        <w:rFonts w:hint="eastAsia"/>
      </w:rPr>
    </w:lvl>
    <w:lvl w:ilvl="5" w:tentative="0">
      <w:start w:val="1"/>
      <w:numFmt w:val="decimal"/>
      <w:lvlText w:val="%1.%2.%3.%4.%5.%6"/>
      <w:lvlJc w:val="left"/>
      <w:pPr>
        <w:ind w:left="0" w:firstLine="425"/>
      </w:pPr>
      <w:rPr>
        <w:rFonts w:hint="eastAsia"/>
      </w:rPr>
    </w:lvl>
    <w:lvl w:ilvl="6" w:tentative="0">
      <w:start w:val="1"/>
      <w:numFmt w:val="decimal"/>
      <w:lvlText w:val="%1.%2.%3.%4.%5.%6.%7"/>
      <w:lvlJc w:val="left"/>
      <w:pPr>
        <w:ind w:left="0" w:firstLine="425"/>
      </w:pPr>
      <w:rPr>
        <w:rFonts w:hint="eastAsia"/>
      </w:rPr>
    </w:lvl>
    <w:lvl w:ilvl="7" w:tentative="0">
      <w:start w:val="1"/>
      <w:numFmt w:val="decimal"/>
      <w:lvlText w:val="%1.%2.%3.%4.%5.%6.%7.%8"/>
      <w:lvlJc w:val="left"/>
      <w:pPr>
        <w:ind w:left="0" w:firstLine="425"/>
      </w:pPr>
      <w:rPr>
        <w:rFonts w:hint="eastAsia"/>
      </w:rPr>
    </w:lvl>
    <w:lvl w:ilvl="8" w:tentative="0">
      <w:start w:val="1"/>
      <w:numFmt w:val="decimal"/>
      <w:lvlText w:val="%1.%2.%3.%4.%5.%6.%7.%8.%9"/>
      <w:lvlJc w:val="left"/>
      <w:pPr>
        <w:ind w:left="0" w:firstLine="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Zjk0MTdjNjM2NTU4NmVhMWM2OTMwNjgzNGJhMzYifQ=="/>
  </w:docVars>
  <w:rsids>
    <w:rsidRoot w:val="0618317E"/>
    <w:rsid w:val="00031C30"/>
    <w:rsid w:val="000A4FB7"/>
    <w:rsid w:val="000D42D7"/>
    <w:rsid w:val="00164909"/>
    <w:rsid w:val="00170AB0"/>
    <w:rsid w:val="001734AA"/>
    <w:rsid w:val="00180C7A"/>
    <w:rsid w:val="00185A1C"/>
    <w:rsid w:val="00210BF4"/>
    <w:rsid w:val="002308BC"/>
    <w:rsid w:val="00232FF2"/>
    <w:rsid w:val="00252B15"/>
    <w:rsid w:val="002851B3"/>
    <w:rsid w:val="002F2BA5"/>
    <w:rsid w:val="00314E0D"/>
    <w:rsid w:val="00380486"/>
    <w:rsid w:val="003A508E"/>
    <w:rsid w:val="003B2602"/>
    <w:rsid w:val="003D481D"/>
    <w:rsid w:val="0043034B"/>
    <w:rsid w:val="00450AA6"/>
    <w:rsid w:val="004C1F22"/>
    <w:rsid w:val="00572BEE"/>
    <w:rsid w:val="00577A3D"/>
    <w:rsid w:val="005B6A17"/>
    <w:rsid w:val="006474B7"/>
    <w:rsid w:val="0068218C"/>
    <w:rsid w:val="006A74F6"/>
    <w:rsid w:val="006B7612"/>
    <w:rsid w:val="006F413B"/>
    <w:rsid w:val="0070716B"/>
    <w:rsid w:val="00712084"/>
    <w:rsid w:val="00715281"/>
    <w:rsid w:val="007303CC"/>
    <w:rsid w:val="00743FB7"/>
    <w:rsid w:val="00793F7C"/>
    <w:rsid w:val="008006A0"/>
    <w:rsid w:val="00821E6B"/>
    <w:rsid w:val="00895F82"/>
    <w:rsid w:val="008972FA"/>
    <w:rsid w:val="008E5CFC"/>
    <w:rsid w:val="008F429C"/>
    <w:rsid w:val="00936FD0"/>
    <w:rsid w:val="00972FD5"/>
    <w:rsid w:val="009E2606"/>
    <w:rsid w:val="00A04011"/>
    <w:rsid w:val="00A55779"/>
    <w:rsid w:val="00A809F1"/>
    <w:rsid w:val="00AB096B"/>
    <w:rsid w:val="00AE62B4"/>
    <w:rsid w:val="00AF6E12"/>
    <w:rsid w:val="00B941F6"/>
    <w:rsid w:val="00BA5290"/>
    <w:rsid w:val="00BD56C2"/>
    <w:rsid w:val="00BE7F7A"/>
    <w:rsid w:val="00CE7ADE"/>
    <w:rsid w:val="00D63B65"/>
    <w:rsid w:val="00DE1272"/>
    <w:rsid w:val="00E37977"/>
    <w:rsid w:val="00E63FB0"/>
    <w:rsid w:val="00E8577A"/>
    <w:rsid w:val="00EC2188"/>
    <w:rsid w:val="00EF4945"/>
    <w:rsid w:val="00EF665E"/>
    <w:rsid w:val="00F96B64"/>
    <w:rsid w:val="00FD2C4C"/>
    <w:rsid w:val="011452B8"/>
    <w:rsid w:val="013E1EA1"/>
    <w:rsid w:val="017C6883"/>
    <w:rsid w:val="01DA2522"/>
    <w:rsid w:val="021078C2"/>
    <w:rsid w:val="02FB4CDA"/>
    <w:rsid w:val="0304225D"/>
    <w:rsid w:val="03472A32"/>
    <w:rsid w:val="03617086"/>
    <w:rsid w:val="03724B32"/>
    <w:rsid w:val="04783F80"/>
    <w:rsid w:val="049D7B32"/>
    <w:rsid w:val="0541729D"/>
    <w:rsid w:val="0618317E"/>
    <w:rsid w:val="062A5952"/>
    <w:rsid w:val="066F0305"/>
    <w:rsid w:val="06724C26"/>
    <w:rsid w:val="06E24DE4"/>
    <w:rsid w:val="07597359"/>
    <w:rsid w:val="07A44EED"/>
    <w:rsid w:val="07D714F8"/>
    <w:rsid w:val="084B436C"/>
    <w:rsid w:val="092E487A"/>
    <w:rsid w:val="096521AD"/>
    <w:rsid w:val="09A32575"/>
    <w:rsid w:val="0A0E4371"/>
    <w:rsid w:val="0A2F2142"/>
    <w:rsid w:val="0AE3382B"/>
    <w:rsid w:val="0B120CDA"/>
    <w:rsid w:val="0B2E5EAB"/>
    <w:rsid w:val="0B440F53"/>
    <w:rsid w:val="0C5C0037"/>
    <w:rsid w:val="0C683013"/>
    <w:rsid w:val="0CA77E89"/>
    <w:rsid w:val="0CD040F3"/>
    <w:rsid w:val="0CD713BE"/>
    <w:rsid w:val="0D356F76"/>
    <w:rsid w:val="0D360638"/>
    <w:rsid w:val="0D360C19"/>
    <w:rsid w:val="0E2C13FA"/>
    <w:rsid w:val="0E3813E6"/>
    <w:rsid w:val="0E680BEF"/>
    <w:rsid w:val="0F010075"/>
    <w:rsid w:val="0FDC20EB"/>
    <w:rsid w:val="109E153F"/>
    <w:rsid w:val="10B731C4"/>
    <w:rsid w:val="114958F3"/>
    <w:rsid w:val="11AC523D"/>
    <w:rsid w:val="11AC55B1"/>
    <w:rsid w:val="1202527E"/>
    <w:rsid w:val="12893699"/>
    <w:rsid w:val="12A67426"/>
    <w:rsid w:val="13273D9A"/>
    <w:rsid w:val="13FB27CE"/>
    <w:rsid w:val="148E1908"/>
    <w:rsid w:val="14B66272"/>
    <w:rsid w:val="153565BD"/>
    <w:rsid w:val="16E859D1"/>
    <w:rsid w:val="18701DBC"/>
    <w:rsid w:val="18CC577F"/>
    <w:rsid w:val="1A1E58C0"/>
    <w:rsid w:val="1AD51525"/>
    <w:rsid w:val="1C163AB4"/>
    <w:rsid w:val="1C6D61B7"/>
    <w:rsid w:val="1D2A7881"/>
    <w:rsid w:val="1D951428"/>
    <w:rsid w:val="1E836FC2"/>
    <w:rsid w:val="1F6B4265"/>
    <w:rsid w:val="20294281"/>
    <w:rsid w:val="20636C22"/>
    <w:rsid w:val="20D400C6"/>
    <w:rsid w:val="21925916"/>
    <w:rsid w:val="21A143DA"/>
    <w:rsid w:val="21B81C6C"/>
    <w:rsid w:val="22185F9B"/>
    <w:rsid w:val="230B5E6E"/>
    <w:rsid w:val="23A63334"/>
    <w:rsid w:val="23BF7CD8"/>
    <w:rsid w:val="24F40DA1"/>
    <w:rsid w:val="24F97E90"/>
    <w:rsid w:val="251545D8"/>
    <w:rsid w:val="254D2F9E"/>
    <w:rsid w:val="259D7C83"/>
    <w:rsid w:val="2607099F"/>
    <w:rsid w:val="263223EA"/>
    <w:rsid w:val="269A5C47"/>
    <w:rsid w:val="270F3DE0"/>
    <w:rsid w:val="2781483E"/>
    <w:rsid w:val="282D33BF"/>
    <w:rsid w:val="28657C44"/>
    <w:rsid w:val="28C9797F"/>
    <w:rsid w:val="2A0633FB"/>
    <w:rsid w:val="2A1262DA"/>
    <w:rsid w:val="2A1657B8"/>
    <w:rsid w:val="2AA871B7"/>
    <w:rsid w:val="2AB075D7"/>
    <w:rsid w:val="2B6671E7"/>
    <w:rsid w:val="2C2070F2"/>
    <w:rsid w:val="2CB77711"/>
    <w:rsid w:val="2D6B3B5E"/>
    <w:rsid w:val="2D8823DB"/>
    <w:rsid w:val="2DB01B5A"/>
    <w:rsid w:val="2DD04C42"/>
    <w:rsid w:val="2DD951B3"/>
    <w:rsid w:val="2E420A5F"/>
    <w:rsid w:val="2EA513FC"/>
    <w:rsid w:val="2EA83C66"/>
    <w:rsid w:val="2EAB56EB"/>
    <w:rsid w:val="2EB23A66"/>
    <w:rsid w:val="2EE83938"/>
    <w:rsid w:val="2FBB13EB"/>
    <w:rsid w:val="300865D5"/>
    <w:rsid w:val="30ED5947"/>
    <w:rsid w:val="31106082"/>
    <w:rsid w:val="3182293D"/>
    <w:rsid w:val="31941F20"/>
    <w:rsid w:val="33066014"/>
    <w:rsid w:val="330C77CC"/>
    <w:rsid w:val="33F474E2"/>
    <w:rsid w:val="35874B0A"/>
    <w:rsid w:val="35987485"/>
    <w:rsid w:val="35EA711C"/>
    <w:rsid w:val="360E4FF7"/>
    <w:rsid w:val="365E148A"/>
    <w:rsid w:val="36827957"/>
    <w:rsid w:val="36A61C0D"/>
    <w:rsid w:val="36B57C48"/>
    <w:rsid w:val="377F6608"/>
    <w:rsid w:val="37BB27BF"/>
    <w:rsid w:val="3824767B"/>
    <w:rsid w:val="38272773"/>
    <w:rsid w:val="3851627B"/>
    <w:rsid w:val="389D21BA"/>
    <w:rsid w:val="38BB6ABC"/>
    <w:rsid w:val="38CE15EB"/>
    <w:rsid w:val="394B64BF"/>
    <w:rsid w:val="39951EB4"/>
    <w:rsid w:val="39B175EB"/>
    <w:rsid w:val="39EA1DB1"/>
    <w:rsid w:val="3A1324AE"/>
    <w:rsid w:val="3A48786E"/>
    <w:rsid w:val="3AC1174E"/>
    <w:rsid w:val="3B3805F8"/>
    <w:rsid w:val="3C551F6B"/>
    <w:rsid w:val="3C9E095B"/>
    <w:rsid w:val="3CC13732"/>
    <w:rsid w:val="3D1A06CF"/>
    <w:rsid w:val="3D2F66F9"/>
    <w:rsid w:val="3D585F33"/>
    <w:rsid w:val="3D86444F"/>
    <w:rsid w:val="3DA5459E"/>
    <w:rsid w:val="3DD06512"/>
    <w:rsid w:val="3DE65AA4"/>
    <w:rsid w:val="3E681107"/>
    <w:rsid w:val="3E9A48E5"/>
    <w:rsid w:val="40965530"/>
    <w:rsid w:val="40A9769C"/>
    <w:rsid w:val="40BC3568"/>
    <w:rsid w:val="40C66003"/>
    <w:rsid w:val="40E55139"/>
    <w:rsid w:val="41E73359"/>
    <w:rsid w:val="42215B63"/>
    <w:rsid w:val="433202A0"/>
    <w:rsid w:val="433A7A5E"/>
    <w:rsid w:val="433D519D"/>
    <w:rsid w:val="43B865B2"/>
    <w:rsid w:val="43D3475D"/>
    <w:rsid w:val="44E93784"/>
    <w:rsid w:val="451945F9"/>
    <w:rsid w:val="464E2106"/>
    <w:rsid w:val="474D746A"/>
    <w:rsid w:val="476674A2"/>
    <w:rsid w:val="479A7EBB"/>
    <w:rsid w:val="47A00BC5"/>
    <w:rsid w:val="48F83E71"/>
    <w:rsid w:val="48FE09BF"/>
    <w:rsid w:val="4A0C637F"/>
    <w:rsid w:val="4A22537C"/>
    <w:rsid w:val="4A38306A"/>
    <w:rsid w:val="4A7159AD"/>
    <w:rsid w:val="4B430BC4"/>
    <w:rsid w:val="4B9A4B7E"/>
    <w:rsid w:val="4C2110DA"/>
    <w:rsid w:val="4CA063CC"/>
    <w:rsid w:val="4CD9016C"/>
    <w:rsid w:val="4D5501B1"/>
    <w:rsid w:val="4ECA16E9"/>
    <w:rsid w:val="4F4114E2"/>
    <w:rsid w:val="4F9F3C36"/>
    <w:rsid w:val="4FFD4651"/>
    <w:rsid w:val="5021358C"/>
    <w:rsid w:val="50D06278"/>
    <w:rsid w:val="50F85E13"/>
    <w:rsid w:val="51642817"/>
    <w:rsid w:val="52403741"/>
    <w:rsid w:val="525C560C"/>
    <w:rsid w:val="52772B4C"/>
    <w:rsid w:val="528065AB"/>
    <w:rsid w:val="53D670C7"/>
    <w:rsid w:val="540803F9"/>
    <w:rsid w:val="543E4E95"/>
    <w:rsid w:val="54FE1085"/>
    <w:rsid w:val="550033CA"/>
    <w:rsid w:val="551B5D0B"/>
    <w:rsid w:val="55F7480C"/>
    <w:rsid w:val="56544DC4"/>
    <w:rsid w:val="565E6700"/>
    <w:rsid w:val="56DE7EF4"/>
    <w:rsid w:val="571E77BD"/>
    <w:rsid w:val="57450C85"/>
    <w:rsid w:val="57B550FB"/>
    <w:rsid w:val="59007DCB"/>
    <w:rsid w:val="596A38BB"/>
    <w:rsid w:val="59A15CA2"/>
    <w:rsid w:val="59C839C6"/>
    <w:rsid w:val="5AD37396"/>
    <w:rsid w:val="5AEC0E86"/>
    <w:rsid w:val="5B234DE5"/>
    <w:rsid w:val="5B651312"/>
    <w:rsid w:val="5C4B7E01"/>
    <w:rsid w:val="5C647403"/>
    <w:rsid w:val="5D211DA1"/>
    <w:rsid w:val="5F317009"/>
    <w:rsid w:val="5F3A0841"/>
    <w:rsid w:val="5FD70DDB"/>
    <w:rsid w:val="607D3D34"/>
    <w:rsid w:val="60C8214B"/>
    <w:rsid w:val="611F52BF"/>
    <w:rsid w:val="621B4D77"/>
    <w:rsid w:val="623A5530"/>
    <w:rsid w:val="62526D0C"/>
    <w:rsid w:val="62C226A0"/>
    <w:rsid w:val="633D7D94"/>
    <w:rsid w:val="63EE57B6"/>
    <w:rsid w:val="651E3E21"/>
    <w:rsid w:val="658F5C09"/>
    <w:rsid w:val="65C771D3"/>
    <w:rsid w:val="65F71E66"/>
    <w:rsid w:val="660B19A7"/>
    <w:rsid w:val="66DB6BEB"/>
    <w:rsid w:val="66E63C24"/>
    <w:rsid w:val="676317E0"/>
    <w:rsid w:val="6789737C"/>
    <w:rsid w:val="67F67B78"/>
    <w:rsid w:val="68655D8F"/>
    <w:rsid w:val="696F1EA8"/>
    <w:rsid w:val="6B197458"/>
    <w:rsid w:val="6B6C688B"/>
    <w:rsid w:val="6BE5431D"/>
    <w:rsid w:val="6C5F3989"/>
    <w:rsid w:val="6C762432"/>
    <w:rsid w:val="6CA15FCF"/>
    <w:rsid w:val="6CCC471F"/>
    <w:rsid w:val="6DAB79B4"/>
    <w:rsid w:val="6DCB3417"/>
    <w:rsid w:val="6DCD603A"/>
    <w:rsid w:val="6E27073C"/>
    <w:rsid w:val="6E272E72"/>
    <w:rsid w:val="6E600C88"/>
    <w:rsid w:val="7054210A"/>
    <w:rsid w:val="70892E85"/>
    <w:rsid w:val="70D94F05"/>
    <w:rsid w:val="70E07973"/>
    <w:rsid w:val="71FA55AC"/>
    <w:rsid w:val="721A2090"/>
    <w:rsid w:val="72A33C46"/>
    <w:rsid w:val="73661E99"/>
    <w:rsid w:val="73C62BF0"/>
    <w:rsid w:val="73FC02B7"/>
    <w:rsid w:val="743F0820"/>
    <w:rsid w:val="75167039"/>
    <w:rsid w:val="7547693E"/>
    <w:rsid w:val="75FA5564"/>
    <w:rsid w:val="76550D46"/>
    <w:rsid w:val="76A7481C"/>
    <w:rsid w:val="76FB75FC"/>
    <w:rsid w:val="76FF1C70"/>
    <w:rsid w:val="77A05891"/>
    <w:rsid w:val="77BC32D8"/>
    <w:rsid w:val="77C05025"/>
    <w:rsid w:val="77D75D5B"/>
    <w:rsid w:val="77FC5030"/>
    <w:rsid w:val="78946AEC"/>
    <w:rsid w:val="789D7AAA"/>
    <w:rsid w:val="78A52CCC"/>
    <w:rsid w:val="79967E46"/>
    <w:rsid w:val="79B505D8"/>
    <w:rsid w:val="7A1E105F"/>
    <w:rsid w:val="7A654670"/>
    <w:rsid w:val="7AA35416"/>
    <w:rsid w:val="7B0D1890"/>
    <w:rsid w:val="7B2A222E"/>
    <w:rsid w:val="7B36160B"/>
    <w:rsid w:val="7BD20BE9"/>
    <w:rsid w:val="7CCB3777"/>
    <w:rsid w:val="7CD87F6C"/>
    <w:rsid w:val="7D094864"/>
    <w:rsid w:val="7D0D237A"/>
    <w:rsid w:val="7D2439E9"/>
    <w:rsid w:val="7E0228D4"/>
    <w:rsid w:val="7E3257C1"/>
    <w:rsid w:val="7E4A42E1"/>
    <w:rsid w:val="7E6B7F7B"/>
    <w:rsid w:val="7FE32301"/>
    <w:rsid w:val="7FF6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 w:eastAsia="仿宋_GB2312" w:cstheme="minorBidi"/>
      <w:kern w:val="2"/>
      <w:sz w:val="28"/>
      <w:szCs w:val="24"/>
      <w:lang w:val="en-US" w:eastAsia="zh-CN" w:bidi="ar-SA"/>
    </w:rPr>
  </w:style>
  <w:style w:type="paragraph" w:styleId="2">
    <w:name w:val="heading 1"/>
    <w:basedOn w:val="1"/>
    <w:next w:val="1"/>
    <w:link w:val="13"/>
    <w:qFormat/>
    <w:uiPriority w:val="0"/>
    <w:pPr>
      <w:keepNext/>
      <w:keepLines/>
      <w:numPr>
        <w:ilvl w:val="0"/>
        <w:numId w:val="1"/>
      </w:numPr>
      <w:spacing w:before="50" w:beforeLines="50" w:after="50" w:afterLines="50"/>
      <w:ind w:firstLineChars="0"/>
      <w:outlineLvl w:val="0"/>
    </w:pPr>
    <w:rPr>
      <w:rFonts w:ascii="黑体" w:hAnsi="黑体" w:eastAsia="黑体"/>
      <w:b/>
      <w:bCs/>
      <w:kern w:val="44"/>
      <w:szCs w:val="44"/>
    </w:rPr>
  </w:style>
  <w:style w:type="paragraph" w:styleId="3">
    <w:name w:val="heading 2"/>
    <w:next w:val="1"/>
    <w:link w:val="14"/>
    <w:unhideWhenUsed/>
    <w:qFormat/>
    <w:uiPriority w:val="0"/>
    <w:pPr>
      <w:keepNext/>
      <w:keepLines/>
      <w:numPr>
        <w:ilvl w:val="1"/>
        <w:numId w:val="1"/>
      </w:numPr>
      <w:spacing w:before="50" w:beforeLines="50" w:after="50" w:afterLines="50" w:line="360" w:lineRule="auto"/>
      <w:outlineLvl w:val="1"/>
    </w:pPr>
    <w:rPr>
      <w:rFonts w:ascii="楷体" w:hAnsi="楷体" w:eastAsia="楷体" w:cstheme="majorBidi"/>
      <w:b/>
      <w:bCs/>
      <w:kern w:val="2"/>
      <w:sz w:val="28"/>
      <w:szCs w:val="32"/>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3"/>
    <w:basedOn w:val="1"/>
    <w:next w:val="1"/>
    <w:qFormat/>
    <w:uiPriority w:val="0"/>
    <w:pPr>
      <w:ind w:left="400" w:leftChars="400" w:firstLine="0"/>
    </w:pPr>
  </w:style>
  <w:style w:type="paragraph" w:styleId="5">
    <w:name w:val="footer"/>
    <w:basedOn w:val="4"/>
    <w:link w:val="12"/>
    <w:qFormat/>
    <w:uiPriority w:val="99"/>
    <w:pPr>
      <w:snapToGrid w:val="0"/>
      <w:spacing w:before="50" w:beforeLines="50" w:after="50" w:afterLines="50"/>
      <w:ind w:left="0" w:leftChars="0" w:firstLineChars="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next w:val="1"/>
    <w:qFormat/>
    <w:uiPriority w:val="39"/>
    <w:pPr>
      <w:spacing w:line="360" w:lineRule="auto"/>
    </w:pPr>
    <w:rPr>
      <w:rFonts w:ascii="仿宋" w:hAnsi="仿宋" w:eastAsia="黑体" w:cstheme="minorBidi"/>
      <w:kern w:val="2"/>
      <w:sz w:val="28"/>
      <w:szCs w:val="24"/>
      <w:lang w:val="en-US" w:eastAsia="zh-CN" w:bidi="ar-SA"/>
    </w:rPr>
  </w:style>
  <w:style w:type="paragraph" w:styleId="8">
    <w:name w:val="toc 2"/>
    <w:next w:val="1"/>
    <w:qFormat/>
    <w:uiPriority w:val="39"/>
    <w:pPr>
      <w:spacing w:line="360" w:lineRule="auto"/>
      <w:ind w:left="150" w:leftChars="150"/>
    </w:pPr>
    <w:rPr>
      <w:rFonts w:ascii="仿宋_GB2312" w:hAnsi="仿宋" w:eastAsia="仿宋_GB2312" w:cstheme="minorBidi"/>
      <w:kern w:val="2"/>
      <w:sz w:val="28"/>
      <w:szCs w:val="24"/>
      <w:lang w:val="en-US" w:eastAsia="zh-CN" w:bidi="ar-SA"/>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脚 字符"/>
    <w:basedOn w:val="10"/>
    <w:link w:val="5"/>
    <w:qFormat/>
    <w:uiPriority w:val="99"/>
    <w:rPr>
      <w:rFonts w:ascii="仿宋" w:hAnsi="仿宋" w:eastAsia="仿宋" w:cstheme="minorBidi"/>
      <w:kern w:val="2"/>
      <w:sz w:val="18"/>
      <w:szCs w:val="24"/>
    </w:rPr>
  </w:style>
  <w:style w:type="character" w:customStyle="1" w:styleId="13">
    <w:name w:val="标题 1 字符"/>
    <w:basedOn w:val="10"/>
    <w:link w:val="2"/>
    <w:qFormat/>
    <w:uiPriority w:val="0"/>
    <w:rPr>
      <w:rFonts w:ascii="黑体" w:hAnsi="黑体" w:eastAsia="黑体" w:cstheme="minorBidi"/>
      <w:b/>
      <w:bCs/>
      <w:kern w:val="44"/>
      <w:sz w:val="28"/>
      <w:szCs w:val="44"/>
    </w:rPr>
  </w:style>
  <w:style w:type="character" w:customStyle="1" w:styleId="14">
    <w:name w:val="标题 2 字符"/>
    <w:basedOn w:val="10"/>
    <w:link w:val="3"/>
    <w:qFormat/>
    <w:uiPriority w:val="0"/>
    <w:rPr>
      <w:rFonts w:ascii="楷体" w:hAnsi="楷体" w:eastAsia="楷体" w:cstheme="majorBidi"/>
      <w:b/>
      <w:bCs/>
      <w:kern w:val="2"/>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ABB15-D7BD-4622-94D8-AE2E9E8DB739}">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8357</Words>
  <Characters>8510</Characters>
  <Lines>66</Lines>
  <Paragraphs>18</Paragraphs>
  <TotalTime>21</TotalTime>
  <ScaleCrop>false</ScaleCrop>
  <LinksUpToDate>false</LinksUpToDate>
  <CharactersWithSpaces>8589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2021-12-03T02:15:00Z</dcterms:created>
  <dc:creator>Administrator</dc:creator>
  <cp:lastModifiedBy>陈茂乔</cp:lastModifiedBy>
  <cp:lastPrinted>2021-12-13T02:17:00Z</cp:lastPrinted>
  <dcterms:modified xsi:type="dcterms:W3CDTF">2022-08-30T07:56:55Z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B0C643094AB74757A56AC194457891E4</vt:lpwstr>
  </property>
</Properties>
</file>