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8DBF5">
      <w:pPr>
        <w:bidi w:val="0"/>
        <w:spacing w:line="240" w:lineRule="auto"/>
        <w:ind w:firstLine="0" w:firstLineChars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 w14:paraId="25B88A98">
      <w:pPr>
        <w:bidi w:val="0"/>
        <w:spacing w:line="240" w:lineRule="auto"/>
        <w:ind w:firstLine="0" w:firstLineChars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 w14:paraId="6BC615B8">
      <w:pPr>
        <w:bidi w:val="0"/>
        <w:spacing w:line="240" w:lineRule="auto"/>
        <w:ind w:firstLine="0" w:firstLineChars="0"/>
        <w:jc w:val="center"/>
        <w:rPr>
          <w:rFonts w:hint="default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营口市政府规章立法后评估办法</w:t>
      </w:r>
    </w:p>
    <w:p w14:paraId="7782E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（2021年5月26日经第十六届市政府第78次常务会议审议通过 2021年5月31日营口市人民政府令第28号公布 自2021年7月1日起施行）</w:t>
      </w:r>
    </w:p>
    <w:p w14:paraId="61B02E9A">
      <w:pPr>
        <w:rPr>
          <w:rFonts w:hint="eastAsia" w:ascii="宋体" w:hAnsi="宋体" w:eastAsia="宋体" w:cs="宋体"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 w14:paraId="22004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第一条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为推进法治政府建设，提高立法质量，规范政府规章立法后评估工作，根据《中华人民共和国立法法》、国务院《规章制定程序条例》等有关规定，结合我市实际，制定本办法。</w:t>
      </w:r>
    </w:p>
    <w:p w14:paraId="6720A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第二条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本办法所称政府规章立法后评估，是指政府规章实施一定时间后，根据其立法目的，依照法定程序、标准和方法，结合客观实际，对立法质量、立法技术、实施效果、存在问题及影响因素等进行调查、分析和综合评价，并提出修改或者废止政府规章，改进行政管理措施等建议和意见的活动。</w:t>
      </w:r>
    </w:p>
    <w:p w14:paraId="1701C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第三条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营口市政府规章的立法后评估，适用本办法。</w:t>
      </w:r>
    </w:p>
    <w:p w14:paraId="2EF10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第四条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政府规章立法后评估应当遵循客观公正、科学合理、注重实效、社会参与、公开透明的原则。</w:t>
      </w:r>
    </w:p>
    <w:p w14:paraId="19B48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第五条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市司法行政部门是政府规章立法后评估的牵头部门，负责立法后评估的组织、协调、指导和监督工作。</w:t>
      </w:r>
    </w:p>
    <w:p w14:paraId="1CDF2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政府规章的实施部门是立法后评估的责任单位，负责评估的具体工作；有多个实施部门的，主要实施部门为立法后评估的责任单位；实施部门不明确的，由司法行政部门根据部门职责分工，协调确定立法后评估的责任单位。</w:t>
      </w:r>
    </w:p>
    <w:p w14:paraId="13686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其他相关部门应当按照各自职责，配合做好立法后评估工作。</w:t>
      </w:r>
    </w:p>
    <w:p w14:paraId="7117D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第六条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评估责任单位可以委托高等院校、科研机构、社会组织等对政府规章全部或者部分事项进行评估。具体评估内容、时限、方式等要求，以及双方权利义务应当在委托协议中予以明确。</w:t>
      </w:r>
    </w:p>
    <w:p w14:paraId="648D6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第七条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受委托评开展立法后评估的机构应当具备下列条件：</w:t>
      </w:r>
    </w:p>
    <w:p w14:paraId="3A17F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（一）依法成立，可以独立承担民事责任；</w:t>
      </w:r>
    </w:p>
    <w:p w14:paraId="289EE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（二）具有熟悉行政立法、行政管理和立法评估专业技术的人员；</w:t>
      </w:r>
    </w:p>
    <w:p w14:paraId="17A05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（三）具备开展评估工作必需的其他条件。</w:t>
      </w:r>
    </w:p>
    <w:p w14:paraId="688C7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同等条件下，专业从事立法后评估工作，或者具有丰富立法评估实践经验和优秀研究成果的机构，予以优先考虑。</w:t>
      </w:r>
    </w:p>
    <w:p w14:paraId="3AEA6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第八条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受委托评估机构在委托范围内，以评估责任单位名义开展立法后评估工作，不得将评估工作转委托其他单位或者个人。</w:t>
      </w:r>
    </w:p>
    <w:p w14:paraId="60D80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评估责任单位应当对受委托机构的评估工作进行指导、监督，并做好相关行政部门之间的协调工作。</w:t>
      </w:r>
    </w:p>
    <w:p w14:paraId="65702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第九条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评估责任单位应当在每年10月1日前，向市司法行政部门报送下一年度立法后评估建议项目，并对评估内容和理由进行说明。</w:t>
      </w:r>
    </w:p>
    <w:p w14:paraId="32AA3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市司法行政部门根据责任单位报送情况和实际工作需要，将拟确定的立法后评估项目列入市政府规章年度立法计划，向社会公众征求意见并予以完善，经市政府同意后组织实施。</w:t>
      </w:r>
    </w:p>
    <w:p w14:paraId="6F6B6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立法后评估主要对直接关系人民群众切身利益、对经济社会发展有较大影响的政府规章进行评估。</w:t>
      </w:r>
    </w:p>
    <w:p w14:paraId="2D646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政府规章实施满3年，有下列情形之一的，应当进行立法后评估：</w:t>
      </w:r>
    </w:p>
    <w:p w14:paraId="60F80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（一）拟废止或进行重大修改的；</w:t>
      </w:r>
    </w:p>
    <w:p w14:paraId="3DD3F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（二）拟上升为地方性法规的；</w:t>
      </w:r>
    </w:p>
    <w:p w14:paraId="4F192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（三）公民、法人或者其他组织提出较多意见建议的；</w:t>
      </w:r>
    </w:p>
    <w:p w14:paraId="13345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（四）实施过程中发现普遍性问题需要评估的；</w:t>
      </w:r>
    </w:p>
    <w:p w14:paraId="75D40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（五）市政府认为需要评估的。</w:t>
      </w:r>
    </w:p>
    <w:p w14:paraId="636AF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根据上位法制定、修改情况需要进行修改、废止或者有紧急情况进行修改、废止政府规章的，可以不进行立法后评估。</w:t>
      </w:r>
    </w:p>
    <w:p w14:paraId="31C3F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第十一条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立法后评估可以根据政府规章的实施情况，对全部或者部分内容进行评估。</w:t>
      </w:r>
    </w:p>
    <w:p w14:paraId="39C47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评估责任单位应当重点对政府规章有关机构职责、涉及群众切身利益、社会关注度高、影响面广的行政管理措施等事项进行评估。</w:t>
      </w:r>
    </w:p>
    <w:p w14:paraId="3FC8B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第十二条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立法后评估主要依据下列标准进行：</w:t>
      </w:r>
    </w:p>
    <w:p w14:paraId="23737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（一）合法性标准，即是否符合立法权限、立法程序，具体条款是否与法律、法规及上级有关规定相违背，是否符合公平竞争审查要求；</w:t>
      </w:r>
    </w:p>
    <w:p w14:paraId="7CE9D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（二）合理性标准，即规定的行政管理措施是否必要、适当，违法责任的设定是否与违法行为的事实、情节以及社会危害性相统一；</w:t>
      </w:r>
    </w:p>
    <w:p w14:paraId="64748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（三）协调性标准，即是否与同位阶规章相冲突，是否与现有制度互相衔接，要求建立的配套制度是否完备；</w:t>
      </w:r>
    </w:p>
    <w:p w14:paraId="0C82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（四）可操作性标准，即规定内容是否符合本市实际，具体措施是否易于操作、高效便民，是否得到普遍遵守和执行；</w:t>
      </w:r>
    </w:p>
    <w:p w14:paraId="426AD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（五）技术性标准，即概念是否清晰，语言表述是否准确且符合立法技术规范，逻辑结构是否严密；</w:t>
      </w:r>
    </w:p>
    <w:p w14:paraId="52FC9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（六）实效性标准，即是否能够有效解决行政管理中的具体问题，是否能够实现预期的立法目的。</w:t>
      </w:r>
    </w:p>
    <w:p w14:paraId="1BDE0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第十三条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开展立法后评估，应当按照下列程序进行：</w:t>
      </w:r>
    </w:p>
    <w:p w14:paraId="67A01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一）成立评估小组。评估小组承担评估具体工作，由责任单位自行组织，由分管领导作组长，承担政府规章实施业务科室人员、内部法制机构人员以及其他相关人员组成，可以邀请人大代表、政协委员、专家学者、群众代表等人员参加；</w:t>
      </w:r>
    </w:p>
    <w:p w14:paraId="3B383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（二）制定评估方案。评估方案主要包括评估目的、评估内容、评估标准、评估方法、评估步骤以及时间安排、经费和组织保障等；</w:t>
      </w:r>
    </w:p>
    <w:p w14:paraId="7090B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（三）开展评估调研。通过实地考察、专题调研、问卷调查、座谈会、专家论证等方法，收集实施机关、行政管理相对人和社会公众的意见和建议；</w:t>
      </w:r>
    </w:p>
    <w:p w14:paraId="68E00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（四）进行分析评价。对收集的意见和建议进行分析研究，对照评估内容和评估标准进行分析评价，提出初步评估结论；</w:t>
      </w:r>
    </w:p>
    <w:p w14:paraId="21D6D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（五）形成评估报告。对初步评估结论进一步研究和论证，提出政府规章继续施行或者修改、废止、制定配套制度、改进行政管理措施等方面的评估意见，形成正式评估报告，报市司法行政部门审查；</w:t>
      </w:r>
    </w:p>
    <w:p w14:paraId="0E279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（六）审查评估报告。市司法行政部门收到评估报告后应当及时审查，并指导评估责任单位修改完善，由评估责任单位将审查后的评估报告，提交市政府审议。</w:t>
      </w:r>
    </w:p>
    <w:p w14:paraId="30664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第十四条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评估责任单位根据工作实际需要，对政府规章个别条款或者部分制度的评估、政府规章集中清理的评估可以适用简易程序。</w:t>
      </w:r>
    </w:p>
    <w:p w14:paraId="77F7D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适用简易程序的，评估责任单位可以不成立领导小组，通过召开座谈会、问卷调查、书面征求意见、公开向社会征求意见等方式收集资料，组织专家分析或者召开论证会等方式进行评估，形成评估报告。</w:t>
      </w:r>
    </w:p>
    <w:p w14:paraId="304DC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第十五条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评估责任单位应当充分听取行政管理相对人的意见和建议，畅通意见建议收集渠道，可以通过市政府网站、部门网站、报纸等媒体发布政府规章评估相关信息，开设公众意见反馈专栏、专线、邮箱等，方便公众发表意见。</w:t>
      </w:r>
    </w:p>
    <w:p w14:paraId="1AED4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第十六条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立法后评估报告应当包括下列内容：</w:t>
      </w:r>
    </w:p>
    <w:p w14:paraId="31419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（一）评估的基本情况，包括评估（小组）组成人员、评估内容、方法、过程、时间等，调研情况，组织召开座谈会、论证会等；</w:t>
      </w:r>
    </w:p>
    <w:p w14:paraId="29F6D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（二）政府规章立法质量、立法技术、实施效果、存在问题及影响因素等评价；</w:t>
      </w:r>
    </w:p>
    <w:p w14:paraId="00D8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（三）意见建议征集及采纳情况，重要意见建议不予采纳的，应当说明理由；</w:t>
      </w:r>
    </w:p>
    <w:p w14:paraId="7EA34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（四）政府规章继续施行或者修改、废止、制定配套制度、改进行政管理措施等方面的评估结论；</w:t>
      </w:r>
    </w:p>
    <w:p w14:paraId="075C4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（五）其他需要说明的问题。</w:t>
      </w:r>
    </w:p>
    <w:p w14:paraId="19D93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第十七条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评估报告作为政府规章是否继续施行或者修改、废止、制定配套制度、改进行政管理措施等的重要参考依据。</w:t>
      </w:r>
    </w:p>
    <w:p w14:paraId="58FA2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第十八条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参与政府规章立法后评估的单位、人员对评估过程中涉及的国家秘密、商业秘密和个人隐私应当予以保密。</w:t>
      </w:r>
    </w:p>
    <w:p w14:paraId="112EB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第十九条　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除涉及国家秘密、商业秘密和个人隐私外，政府规章评估报告应当在市政府网站、责任单位网站、新闻媒体上依法公开，接受群众监督。</w:t>
      </w:r>
    </w:p>
    <w:p w14:paraId="411E5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第二十条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市政府行政规范性文件的后评估工作，可以参照本办法执行。</w:t>
      </w:r>
    </w:p>
    <w:p w14:paraId="7BE7C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第二十一条　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fill="FFFFFF"/>
        </w:rPr>
        <w:t>本办法自2021年7月1日起施行。</w:t>
      </w:r>
    </w:p>
    <w:p w14:paraId="47835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 w:cs="仿宋"/>
          <w:color w:val="333333"/>
          <w:sz w:val="30"/>
          <w:szCs w:val="30"/>
          <w:shd w:val="clear" w:fill="FFFFFF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bsj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449AB">
    <w:pPr>
      <w:pStyle w:val="3"/>
      <w:ind w:left="5472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990667E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90667E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 w14:paraId="1195ED62">
    <w:pPr>
      <w:pStyle w:val="3"/>
      <w:wordWrap w:val="0"/>
      <w:ind w:left="5472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519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z&#10;p6XR1AAAAAYBAAAPAAAAAAAAAAEAIAAAACIAAABkcnMvZG93bnJldi54bWxQSwECFAAUAAAACACH&#10;TuJAB6gkL+8BAADDAwAADgAAAAAAAAABACAAAAAjAQAAZHJzL2Uyb0RvYy54bWxQSwUGAAAAAAYA&#10;BgBZAQAAhAUAAAAA&#10;">
              <v:fill on="f" focussize="0,0"/>
              <v:stroke weight="1.75pt" color="#005192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>营口市人民政府发布</w:t>
    </w:r>
  </w:p>
  <w:p w14:paraId="37AE6377">
    <w:pPr>
      <w:pStyle w:val="3"/>
      <w:wordWrap w:val="0"/>
      <w:ind w:left="5472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8EE4A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0795" r="18415" b="17780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519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pSLLs/cBAADLAwAADgAAAGRycy9lMm9Eb2MueG1srVNNjtMw&#10;FN4jcQfLe5o005YSNZ3FVMMGQSXgAK5jJ5b8Jz9P016CCyCxgxVL9tyG4Rg8O2EY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74g+EDxJfCGZKChmplE31Ws+MriNgXS3+XpGXrrpXW+Qq1JUNDK/wSNENfSvQD&#10;hsYjN7AdJUx3aHgeQ4YEp1WbticgCN3hSgdyZMkm5XL+okqksd1fZan3jkE/1uXUaCCjIr4JrQxy&#10;LtM37dY2oYvsw4lBEnKULkUH156zokWa4R3nppMfk4nuzzG+/wa3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UR0DW1QAAAAkBAAAPAAAAAAAAAAEAIAAAACIAAABkcnMvZG93bnJldi54bWxQSwEC&#10;FAAUAAAACACHTuJApSLLs/cBAADLAwAADgAAAAAAAAABACAAAAAkAQAAZHJzL2Uyb0RvYy54bWxQ&#10;SwUGAAAAAAYABgBZAQAAjQUAAAAA&#10;">
              <v:fill on="f" focussize="0,0"/>
              <v:stroke weight="1.75pt" color="#005192" miterlimit="8" joinstyle="miter"/>
              <v:imagedata o:title=""/>
              <o:lock v:ext="edit" aspectratio="f"/>
            </v:line>
          </w:pict>
        </mc:Fallback>
      </mc:AlternateContent>
    </w:r>
  </w:p>
  <w:p w14:paraId="3E2FF0EA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left="0" w:leftChars="0" w:firstLine="0" w:firstLineChars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5240" b="15240"/>
          <wp:docPr id="1" name="图片 1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营口市人民政府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5NWQyNzkzNTRmNTQxYzdkMjZhODJkNTQwMGU0MmIifQ=="/>
  </w:docVars>
  <w:rsids>
    <w:rsidRoot w:val="43030F97"/>
    <w:rsid w:val="4303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720" w:firstLineChars="200"/>
      <w:jc w:val="both"/>
    </w:pPr>
    <w:rPr>
      <w:rFonts w:ascii="仿宋_GB2312" w:hAnsi="仿宋_GB2312" w:eastAsia="仿宋_GB2312" w:cs="Times New Roman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Body Text First Indent"/>
    <w:basedOn w:val="1"/>
    <w:qFormat/>
    <w:uiPriority w:val="0"/>
    <w:pPr>
      <w:ind w:firstLine="632" w:firstLineChars="200"/>
    </w:pPr>
  </w:style>
  <w:style w:type="character" w:styleId="8">
    <w:name w:val="Strong"/>
    <w:basedOn w:val="7"/>
    <w:qFormat/>
    <w:uiPriority w:val="0"/>
  </w:style>
  <w:style w:type="character" w:styleId="9">
    <w:name w:val="FollowedHyperlink"/>
    <w:basedOn w:val="7"/>
    <w:uiPriority w:val="0"/>
    <w:rPr>
      <w:color w:val="800080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TML Definition"/>
    <w:basedOn w:val="7"/>
    <w:uiPriority w:val="0"/>
  </w:style>
  <w:style w:type="character" w:styleId="12">
    <w:name w:val="HTML Typewriter"/>
    <w:basedOn w:val="7"/>
    <w:uiPriority w:val="0"/>
    <w:rPr>
      <w:rFonts w:ascii="monospace" w:hAnsi="monospace" w:eastAsia="monospace" w:cs="monospace"/>
      <w:sz w:val="20"/>
    </w:rPr>
  </w:style>
  <w:style w:type="character" w:styleId="13">
    <w:name w:val="HTML Acronym"/>
    <w:basedOn w:val="7"/>
    <w:uiPriority w:val="0"/>
    <w:rPr>
      <w:bdr w:val="none" w:color="auto" w:sz="0" w:space="0"/>
    </w:rPr>
  </w:style>
  <w:style w:type="character" w:styleId="14">
    <w:name w:val="HTML Variable"/>
    <w:basedOn w:val="7"/>
    <w:uiPriority w:val="0"/>
  </w:style>
  <w:style w:type="character" w:styleId="15">
    <w:name w:val="Hyperlink"/>
    <w:basedOn w:val="7"/>
    <w:uiPriority w:val="0"/>
    <w:rPr>
      <w:color w:val="0000FF"/>
      <w:u w:val="none"/>
    </w:rPr>
  </w:style>
  <w:style w:type="character" w:styleId="16">
    <w:name w:val="HTML Code"/>
    <w:basedOn w:val="7"/>
    <w:uiPriority w:val="0"/>
    <w:rPr>
      <w:rFonts w:hint="default" w:ascii="monospace" w:hAnsi="monospace" w:eastAsia="monospace" w:cs="monospace"/>
      <w:sz w:val="20"/>
      <w:bdr w:val="none" w:color="auto" w:sz="0" w:space="0"/>
    </w:rPr>
  </w:style>
  <w:style w:type="character" w:styleId="17">
    <w:name w:val="HTML Cite"/>
    <w:basedOn w:val="7"/>
    <w:uiPriority w:val="0"/>
  </w:style>
  <w:style w:type="character" w:styleId="18">
    <w:name w:val="HTML Keyboard"/>
    <w:basedOn w:val="7"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Sample"/>
    <w:basedOn w:val="7"/>
    <w:uiPriority w:val="0"/>
    <w:rPr>
      <w:rFonts w:hint="default" w:ascii="monospace" w:hAnsi="monospace" w:eastAsia="monospace" w:cs="monospace"/>
    </w:rPr>
  </w:style>
  <w:style w:type="paragraph" w:customStyle="1" w:styleId="20">
    <w:name w:val="detail-nav"/>
    <w:basedOn w:val="1"/>
    <w:uiPriority w:val="0"/>
    <w:pPr>
      <w:spacing w:after="570" w:afterAutospacing="0" w:line="375" w:lineRule="atLeast"/>
      <w:jc w:val="center"/>
    </w:pPr>
    <w:rPr>
      <w:rFonts w:ascii="仿宋" w:hAnsi="仿宋" w:eastAsia="仿宋" w:cs="仿宋"/>
      <w:kern w:val="0"/>
      <w:sz w:val="27"/>
      <w:szCs w:val="27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2024-08-14T05:41:00Z</dcterms:created>
  <dc:creator>jessica</dc:creator>
  <cp:lastModifiedBy>jessica</cp:lastModifiedBy>
  <dcterms:modified xsi:type="dcterms:W3CDTF">2024-08-14T06:58:55Z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FE1961B6B9974CE4ABD85996142DA6A7_11</vt:lpwstr>
  </property>
</Properties>
</file>