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s="黑体"/>
          <w:spacing w:val="-12"/>
          <w:sz w:val="44"/>
          <w:szCs w:val="44"/>
          <w:highlight w:val="none"/>
        </w:rPr>
      </w:pPr>
      <w:r>
        <w:rPr>
          <w:rFonts w:hint="eastAsia" w:ascii="黑体" w:hAnsi="黑体" w:eastAsia="黑体" w:cs="黑体"/>
          <w:sz w:val="32"/>
          <w:szCs w:val="32"/>
          <w:highlight w:val="none"/>
        </w:rPr>
        <w:t>附件1</w:t>
      </w:r>
    </w:p>
    <w:p>
      <w:pPr>
        <w:spacing w:line="594" w:lineRule="exact"/>
        <w:jc w:val="center"/>
        <w:rPr>
          <w:rFonts w:ascii="Times New Roman" w:hAnsi="Times New Roman" w:eastAsia="方正小标宋简体" w:cs="Times New Roman"/>
          <w:spacing w:val="-12"/>
          <w:sz w:val="44"/>
          <w:szCs w:val="44"/>
          <w:highlight w:val="none"/>
        </w:rPr>
      </w:pPr>
    </w:p>
    <w:p>
      <w:pPr>
        <w:spacing w:line="594" w:lineRule="exact"/>
        <w:jc w:val="center"/>
        <w:rPr>
          <w:rFonts w:ascii="Times New Roman" w:hAnsi="Times New Roman" w:eastAsia="方正小标宋简体" w:cs="Times New Roman"/>
          <w:spacing w:val="-12"/>
          <w:sz w:val="44"/>
          <w:szCs w:val="44"/>
          <w:highlight w:val="none"/>
        </w:rPr>
      </w:pPr>
      <w:r>
        <w:rPr>
          <w:rFonts w:ascii="Times New Roman" w:hAnsi="Times New Roman" w:eastAsia="方正小标宋简体" w:cs="Times New Roman"/>
          <w:spacing w:val="-12"/>
          <w:sz w:val="44"/>
          <w:szCs w:val="44"/>
          <w:highlight w:val="none"/>
        </w:rPr>
        <w:t>部分不合格检验项目小知识</w:t>
      </w:r>
    </w:p>
    <w:p>
      <w:pPr>
        <w:spacing w:line="594" w:lineRule="exact"/>
        <w:rPr>
          <w:rFonts w:ascii="Times New Roman" w:hAnsi="Times New Roman" w:eastAsia="仿宋_GB2312" w:cs="Times New Roman"/>
          <w:sz w:val="32"/>
          <w:szCs w:val="32"/>
          <w:highlight w:val="none"/>
        </w:rPr>
      </w:pPr>
    </w:p>
    <w:p>
      <w:pPr>
        <w:spacing w:line="594"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一、霉菌</w:t>
      </w:r>
    </w:p>
    <w:p>
      <w:pPr>
        <w:autoSpaceDE w:val="0"/>
        <w:spacing w:line="594"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食品安全国家标准 冲调谷物制品》（GB 19640—2016）中规定，冲调谷物制品</w:t>
      </w:r>
      <w:r>
        <w:rPr>
          <w:rFonts w:ascii="Times New Roman" w:hAnsi="Times New Roman" w:eastAsia="仿宋_GB2312" w:cs="Times New Roman"/>
          <w:sz w:val="32"/>
          <w:szCs w:val="32"/>
          <w:highlight w:val="none"/>
        </w:rPr>
        <w:t>同一批次产品5个样品的</w:t>
      </w:r>
      <w:r>
        <w:rPr>
          <w:rFonts w:hint="eastAsia" w:ascii="Times New Roman" w:hAnsi="Times New Roman" w:eastAsia="仿宋_GB2312" w:cs="Times New Roman"/>
          <w:sz w:val="32"/>
          <w:szCs w:val="32"/>
          <w:highlight w:val="none"/>
        </w:rPr>
        <w:t>霉菌</w:t>
      </w:r>
      <w:r>
        <w:rPr>
          <w:rFonts w:ascii="Times New Roman" w:hAnsi="Times New Roman" w:eastAsia="仿宋_GB2312" w:cs="Times New Roman"/>
          <w:sz w:val="32"/>
          <w:szCs w:val="32"/>
          <w:highlight w:val="none"/>
        </w:rPr>
        <w:t>检测结果均不得超过10</w:t>
      </w:r>
      <w:r>
        <w:rPr>
          <w:rFonts w:hint="eastAsia" w:ascii="Times New Roman" w:hAnsi="Times New Roman" w:eastAsia="仿宋_GB2312" w:cs="Times New Roman"/>
          <w:sz w:val="32"/>
          <w:szCs w:val="32"/>
          <w:highlight w:val="none"/>
          <w:vertAlign w:val="superscript"/>
        </w:rPr>
        <w:t>2</w:t>
      </w:r>
      <w:r>
        <w:rPr>
          <w:rFonts w:ascii="Times New Roman" w:hAnsi="Times New Roman" w:eastAsia="仿宋_GB2312" w:cs="Times New Roman"/>
          <w:sz w:val="32"/>
          <w:szCs w:val="32"/>
          <w:highlight w:val="none"/>
        </w:rPr>
        <w:t>CFU/</w:t>
      </w:r>
      <w:r>
        <w:rPr>
          <w:rFonts w:hint="eastAsia" w:ascii="Times New Roman" w:hAnsi="Times New Roman" w:eastAsia="仿宋_GB2312" w:cs="Times New Roman"/>
          <w:sz w:val="32"/>
          <w:szCs w:val="32"/>
          <w:highlight w:val="none"/>
        </w:rPr>
        <w:t>g</w:t>
      </w:r>
      <w:r>
        <w:rPr>
          <w:rFonts w:ascii="Times New Roman" w:hAnsi="Times New Roman" w:eastAsia="仿宋_GB2312" w:cs="Times New Roman"/>
          <w:sz w:val="32"/>
          <w:szCs w:val="32"/>
          <w:highlight w:val="none"/>
        </w:rPr>
        <w:t>，且最多允许2个样品的</w:t>
      </w:r>
      <w:r>
        <w:rPr>
          <w:rFonts w:ascii="Times New Roman" w:hAnsi="Times New Roman" w:eastAsia="仿宋_GB2312" w:cs="Times New Roman"/>
          <w:color w:val="000000"/>
          <w:sz w:val="32"/>
          <w:szCs w:val="32"/>
          <w:highlight w:val="none"/>
        </w:rPr>
        <w:t>检测结果超过</w:t>
      </w:r>
      <w:r>
        <w:rPr>
          <w:rFonts w:hint="eastAsia" w:ascii="Times New Roman" w:hAnsi="Times New Roman" w:eastAsia="仿宋_GB2312" w:cs="Times New Roman"/>
          <w:sz w:val="32"/>
          <w:szCs w:val="32"/>
          <w:highlight w:val="none"/>
        </w:rPr>
        <w:t>50</w:t>
      </w:r>
      <w:r>
        <w:rPr>
          <w:rFonts w:ascii="Times New Roman" w:hAnsi="Times New Roman" w:eastAsia="仿宋_GB2312" w:cs="Times New Roman"/>
          <w:sz w:val="32"/>
          <w:szCs w:val="32"/>
          <w:highlight w:val="none"/>
        </w:rPr>
        <w:t>CFU/</w:t>
      </w:r>
      <w:r>
        <w:rPr>
          <w:rFonts w:hint="eastAsia" w:ascii="Times New Roman" w:hAnsi="Times New Roman" w:eastAsia="仿宋_GB2312" w:cs="Times New Roman"/>
          <w:sz w:val="32"/>
          <w:szCs w:val="32"/>
          <w:highlight w:val="none"/>
        </w:rPr>
        <w:t>g。《方便冲调制品》（Q/AYXT 0004S</w:t>
      </w:r>
      <w:r>
        <w:rPr>
          <w:rFonts w:hint="eastAsia" w:ascii="Times New Roman" w:hAnsi="Times New Roman" w:eastAsia="仿宋_GB2312"/>
          <w:sz w:val="32"/>
          <w:szCs w:val="32"/>
          <w:highlight w:val="none"/>
        </w:rPr>
        <w:t>—</w:t>
      </w:r>
      <w:r>
        <w:rPr>
          <w:rFonts w:hint="eastAsia" w:ascii="Times New Roman" w:hAnsi="Times New Roman" w:eastAsia="仿宋_GB2312" w:cs="Times New Roman"/>
          <w:sz w:val="32"/>
          <w:szCs w:val="32"/>
          <w:highlight w:val="none"/>
        </w:rPr>
        <w:t>2021）中规定，方便冲调制品</w:t>
      </w:r>
      <w:r>
        <w:rPr>
          <w:rFonts w:ascii="Times New Roman" w:hAnsi="Times New Roman" w:eastAsia="仿宋_GB2312" w:cs="Times New Roman"/>
          <w:sz w:val="32"/>
          <w:szCs w:val="32"/>
          <w:highlight w:val="none"/>
        </w:rPr>
        <w:t>同一批次产品5个样品的</w:t>
      </w:r>
      <w:r>
        <w:rPr>
          <w:rFonts w:hint="eastAsia" w:ascii="Times New Roman" w:hAnsi="Times New Roman" w:eastAsia="仿宋_GB2312" w:cs="Times New Roman"/>
          <w:sz w:val="32"/>
          <w:szCs w:val="32"/>
          <w:highlight w:val="none"/>
        </w:rPr>
        <w:t>霉菌</w:t>
      </w:r>
      <w:r>
        <w:rPr>
          <w:rFonts w:ascii="Times New Roman" w:hAnsi="Times New Roman" w:eastAsia="仿宋_GB2312" w:cs="Times New Roman"/>
          <w:sz w:val="32"/>
          <w:szCs w:val="32"/>
          <w:highlight w:val="none"/>
        </w:rPr>
        <w:t>检测结果均不得超过10</w:t>
      </w:r>
      <w:r>
        <w:rPr>
          <w:rFonts w:hint="eastAsia" w:ascii="Times New Roman" w:hAnsi="Times New Roman" w:eastAsia="仿宋_GB2312" w:cs="Times New Roman"/>
          <w:sz w:val="32"/>
          <w:szCs w:val="32"/>
          <w:highlight w:val="none"/>
          <w:vertAlign w:val="superscript"/>
        </w:rPr>
        <w:t>2</w:t>
      </w:r>
      <w:r>
        <w:rPr>
          <w:rFonts w:ascii="Times New Roman" w:hAnsi="Times New Roman" w:eastAsia="仿宋_GB2312" w:cs="Times New Roman"/>
          <w:sz w:val="32"/>
          <w:szCs w:val="32"/>
          <w:highlight w:val="none"/>
        </w:rPr>
        <w:t>CFU/</w:t>
      </w:r>
      <w:r>
        <w:rPr>
          <w:rFonts w:hint="eastAsia" w:ascii="Times New Roman" w:hAnsi="Times New Roman" w:eastAsia="仿宋_GB2312" w:cs="Times New Roman"/>
          <w:sz w:val="32"/>
          <w:szCs w:val="32"/>
          <w:highlight w:val="none"/>
        </w:rPr>
        <w:t>g</w:t>
      </w:r>
      <w:r>
        <w:rPr>
          <w:rFonts w:ascii="Times New Roman" w:hAnsi="Times New Roman" w:eastAsia="仿宋_GB2312" w:cs="Times New Roman"/>
          <w:sz w:val="32"/>
          <w:szCs w:val="32"/>
          <w:highlight w:val="none"/>
        </w:rPr>
        <w:t>，且最多允许2个样品的</w:t>
      </w:r>
      <w:r>
        <w:rPr>
          <w:rFonts w:ascii="Times New Roman" w:hAnsi="Times New Roman" w:eastAsia="仿宋_GB2312" w:cs="Times New Roman"/>
          <w:color w:val="000000"/>
          <w:sz w:val="32"/>
          <w:szCs w:val="32"/>
          <w:highlight w:val="none"/>
        </w:rPr>
        <w:t>检测结果超过</w:t>
      </w:r>
      <w:r>
        <w:rPr>
          <w:rFonts w:hint="eastAsia" w:ascii="Times New Roman" w:hAnsi="Times New Roman" w:eastAsia="仿宋_GB2312" w:cs="Times New Roman"/>
          <w:sz w:val="32"/>
          <w:szCs w:val="32"/>
          <w:highlight w:val="none"/>
        </w:rPr>
        <w:t>50</w:t>
      </w:r>
      <w:r>
        <w:rPr>
          <w:rFonts w:ascii="Times New Roman" w:hAnsi="Times New Roman" w:eastAsia="仿宋_GB2312" w:cs="Times New Roman"/>
          <w:sz w:val="32"/>
          <w:szCs w:val="32"/>
          <w:highlight w:val="none"/>
        </w:rPr>
        <w:t>CFU/</w:t>
      </w:r>
      <w:r>
        <w:rPr>
          <w:rFonts w:hint="eastAsia" w:ascii="Times New Roman" w:hAnsi="Times New Roman" w:eastAsia="仿宋_GB2312" w:cs="Times New Roman"/>
          <w:sz w:val="32"/>
          <w:szCs w:val="32"/>
          <w:highlight w:val="none"/>
        </w:rPr>
        <w:t>g</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rPr>
        <w:t>冲调谷物制品和方便冲调制品中霉菌数超标的原因，可能是原料或包装材料受到霉菌污染，也可能是产品在生产加工过程中卫生条件控制不到位，还可能与产品储运条件不当有关。</w:t>
      </w:r>
    </w:p>
    <w:p>
      <w:pPr>
        <w:spacing w:line="594"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、菌落总数</w:t>
      </w:r>
    </w:p>
    <w:p>
      <w:pPr>
        <w:spacing w:line="594"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菌落总数是指示性微生物指标，不是致病菌指标，反映食品在生产过程中的卫生状况。如果食品的菌落总数严重超标，将会破坏食品的营养成分，使食品失去食用价值；还会加速食品腐败变质，可能危害人体健康。《</w:t>
      </w:r>
      <w:r>
        <w:rPr>
          <w:rFonts w:hint="eastAsia" w:ascii="Times New Roman" w:hAnsi="Times New Roman" w:eastAsia="仿宋_GB2312" w:cs="Times New Roman"/>
          <w:sz w:val="32"/>
          <w:szCs w:val="32"/>
          <w:highlight w:val="none"/>
        </w:rPr>
        <w:t>方便冲调制品</w:t>
      </w:r>
      <w:r>
        <w:rPr>
          <w:rFonts w:ascii="Times New Roman" w:hAnsi="Times New Roman" w:eastAsia="仿宋_GB2312" w:cs="Times New Roman"/>
          <w:sz w:val="32"/>
          <w:szCs w:val="32"/>
          <w:highlight w:val="none"/>
        </w:rPr>
        <w:t>》（Q/AYXT 0004S</w:t>
      </w:r>
      <w:r>
        <w:rPr>
          <w:rFonts w:hint="eastAsia" w:ascii="Times New Roman" w:hAnsi="Times New Roman" w:eastAsia="仿宋_GB2312"/>
          <w:sz w:val="32"/>
          <w:szCs w:val="32"/>
          <w:highlight w:val="none"/>
        </w:rPr>
        <w:t>—</w:t>
      </w:r>
      <w:r>
        <w:rPr>
          <w:rFonts w:ascii="Times New Roman" w:hAnsi="Times New Roman" w:eastAsia="仿宋_GB2312" w:cs="Times New Roman"/>
          <w:sz w:val="32"/>
          <w:szCs w:val="32"/>
          <w:highlight w:val="none"/>
        </w:rPr>
        <w:t>2021）中规定，</w:t>
      </w:r>
      <w:r>
        <w:rPr>
          <w:rFonts w:hint="eastAsia" w:ascii="Times New Roman" w:hAnsi="Times New Roman" w:eastAsia="仿宋_GB2312" w:cs="Times New Roman"/>
          <w:sz w:val="32"/>
          <w:szCs w:val="32"/>
          <w:highlight w:val="none"/>
        </w:rPr>
        <w:t>方便冲调制品</w:t>
      </w:r>
      <w:r>
        <w:rPr>
          <w:rFonts w:ascii="Times New Roman" w:hAnsi="Times New Roman" w:eastAsia="仿宋_GB2312" w:cs="Times New Roman"/>
          <w:sz w:val="32"/>
          <w:szCs w:val="32"/>
          <w:highlight w:val="none"/>
        </w:rPr>
        <w:t>同一批次产品5个样品的菌落总数检测结果均不得超过10</w:t>
      </w:r>
      <w:r>
        <w:rPr>
          <w:rFonts w:hint="eastAsia" w:ascii="Times New Roman" w:hAnsi="Times New Roman" w:eastAsia="仿宋_GB2312" w:cs="Times New Roman"/>
          <w:sz w:val="32"/>
          <w:szCs w:val="32"/>
          <w:highlight w:val="none"/>
          <w:vertAlign w:val="superscript"/>
        </w:rPr>
        <w:t>5</w:t>
      </w:r>
      <w:r>
        <w:rPr>
          <w:rFonts w:ascii="Times New Roman" w:hAnsi="Times New Roman" w:eastAsia="仿宋_GB2312" w:cs="Times New Roman"/>
          <w:sz w:val="32"/>
          <w:szCs w:val="32"/>
          <w:highlight w:val="none"/>
        </w:rPr>
        <w:t>CFU/</w:t>
      </w:r>
      <w:r>
        <w:rPr>
          <w:rFonts w:hint="eastAsia" w:ascii="Times New Roman" w:hAnsi="Times New Roman" w:eastAsia="仿宋_GB2312" w:cs="Times New Roman"/>
          <w:sz w:val="32"/>
          <w:szCs w:val="32"/>
          <w:highlight w:val="none"/>
        </w:rPr>
        <w:t>g</w:t>
      </w:r>
      <w:r>
        <w:rPr>
          <w:rFonts w:ascii="Times New Roman" w:hAnsi="Times New Roman" w:eastAsia="仿宋_GB2312" w:cs="Times New Roman"/>
          <w:sz w:val="32"/>
          <w:szCs w:val="32"/>
          <w:highlight w:val="none"/>
        </w:rPr>
        <w:t>，且最多允许2个样品的检测结果超过10</w:t>
      </w:r>
      <w:r>
        <w:rPr>
          <w:rFonts w:hint="eastAsia" w:ascii="Times New Roman" w:hAnsi="Times New Roman" w:eastAsia="仿宋_GB2312" w:cs="Times New Roman"/>
          <w:sz w:val="32"/>
          <w:szCs w:val="32"/>
          <w:highlight w:val="none"/>
          <w:vertAlign w:val="superscript"/>
        </w:rPr>
        <w:t>4</w:t>
      </w:r>
      <w:r>
        <w:rPr>
          <w:rFonts w:ascii="Times New Roman" w:hAnsi="Times New Roman" w:eastAsia="仿宋_GB2312" w:cs="Times New Roman"/>
          <w:sz w:val="32"/>
          <w:szCs w:val="32"/>
          <w:highlight w:val="none"/>
        </w:rPr>
        <w:t>CFU/</w:t>
      </w:r>
      <w:r>
        <w:rPr>
          <w:rFonts w:hint="eastAsia" w:ascii="Times New Roman" w:hAnsi="Times New Roman" w:eastAsia="仿宋_GB2312" w:cs="Times New Roman"/>
          <w:sz w:val="32"/>
          <w:szCs w:val="32"/>
          <w:highlight w:val="none"/>
        </w:rPr>
        <w:t>g</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《食品安全国家标准 糕点、面包》（GB 7099—2015）</w:t>
      </w:r>
      <w:r>
        <w:rPr>
          <w:rFonts w:hint="eastAsia" w:eastAsia="仿宋_GB2312" w:cs="Times New Roman"/>
          <w:sz w:val="32"/>
          <w:szCs w:val="32"/>
          <w:highlight w:val="none"/>
        </w:rPr>
        <w:t>中规定，糕点食品同一批次产品</w:t>
      </w:r>
      <w:r>
        <w:rPr>
          <w:rFonts w:ascii="Times New Roman" w:hAnsi="Times New Roman" w:eastAsia="仿宋_GB2312" w:cs="Times New Roman"/>
          <w:sz w:val="32"/>
          <w:szCs w:val="32"/>
          <w:highlight w:val="none"/>
        </w:rPr>
        <w:t>5</w:t>
      </w:r>
      <w:r>
        <w:rPr>
          <w:rFonts w:hint="eastAsia" w:eastAsia="仿宋_GB2312" w:cs="Times New Roman"/>
          <w:sz w:val="32"/>
          <w:szCs w:val="32"/>
          <w:highlight w:val="none"/>
        </w:rPr>
        <w:t>个样品的菌落总数检测结果均不得超过</w:t>
      </w:r>
      <w:r>
        <w:rPr>
          <w:rFonts w:hint="eastAsia"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vertAlign w:val="superscript"/>
        </w:rPr>
        <w:t>5</w:t>
      </w:r>
      <w:r>
        <w:rPr>
          <w:rFonts w:hint="eastAsia" w:ascii="Times New Roman" w:hAnsi="Times New Roman" w:eastAsia="仿宋_GB2312" w:cs="Times New Roman"/>
          <w:sz w:val="32"/>
          <w:szCs w:val="32"/>
          <w:highlight w:val="none"/>
        </w:rPr>
        <w:t>CFU/g</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且最多允许2个样品的</w:t>
      </w:r>
      <w:r>
        <w:rPr>
          <w:rFonts w:ascii="Times New Roman" w:hAnsi="Times New Roman" w:eastAsia="仿宋_GB2312" w:cs="Times New Roman"/>
          <w:color w:val="000000"/>
          <w:sz w:val="32"/>
          <w:szCs w:val="32"/>
          <w:highlight w:val="none"/>
        </w:rPr>
        <w:t>检测结果超过</w:t>
      </w:r>
      <w:r>
        <w:rPr>
          <w:rFonts w:hint="eastAsia" w:ascii="Times New Roman" w:hAnsi="Times New Roman" w:eastAsia="仿宋_GB2312" w:cs="Times New Roman"/>
          <w:sz w:val="32"/>
          <w:szCs w:val="32"/>
          <w:highlight w:val="none"/>
        </w:rPr>
        <w:t>10</w:t>
      </w:r>
      <w:r>
        <w:rPr>
          <w:rFonts w:ascii="Times New Roman" w:hAnsi="Times New Roman" w:eastAsia="仿宋_GB2312" w:cs="Times New Roman"/>
          <w:sz w:val="32"/>
          <w:szCs w:val="32"/>
          <w:highlight w:val="none"/>
          <w:vertAlign w:val="superscript"/>
        </w:rPr>
        <w:t>4</w:t>
      </w:r>
      <w:r>
        <w:rPr>
          <w:rFonts w:hint="eastAsia" w:ascii="Times New Roman" w:hAnsi="Times New Roman" w:eastAsia="仿宋_GB2312" w:cs="Times New Roman"/>
          <w:sz w:val="32"/>
          <w:szCs w:val="32"/>
          <w:highlight w:val="none"/>
        </w:rPr>
        <w:t>CFU/g</w:t>
      </w:r>
      <w:r>
        <w:rPr>
          <w:rFonts w:hint="eastAsia" w:eastAsia="仿宋_GB2312" w:cs="Times New Roman"/>
          <w:sz w:val="32"/>
          <w:szCs w:val="32"/>
          <w:highlight w:val="none"/>
        </w:rPr>
        <w:t>；</w:t>
      </w:r>
      <w:r>
        <w:rPr>
          <w:rFonts w:hint="eastAsia"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rPr>
        <w:t>年糕</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（SB/T 10507—2008）中规定，水磨年糕微生物指标应符合</w:t>
      </w:r>
      <w:r>
        <w:rPr>
          <w:rFonts w:ascii="Times New Roman" w:hAnsi="Times New Roman" w:eastAsia="仿宋_GB2312"/>
          <w:sz w:val="32"/>
          <w:szCs w:val="32"/>
          <w:highlight w:val="none"/>
        </w:rPr>
        <w:t>《食品安全国家标准</w:t>
      </w:r>
      <w:r>
        <w:rPr>
          <w:rFonts w:hint="eastAsia" w:ascii="Times New Roman" w:hAnsi="Times New Roman" w:eastAsia="仿宋_GB2312"/>
          <w:sz w:val="32"/>
          <w:szCs w:val="32"/>
          <w:highlight w:val="none"/>
        </w:rPr>
        <w:t xml:space="preserve"> 速冻面米制品</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（GB 19295—2011）中“熟制食品”的规定，即</w:t>
      </w:r>
      <w:r>
        <w:rPr>
          <w:rFonts w:eastAsia="仿宋_GB2312"/>
          <w:sz w:val="32"/>
          <w:szCs w:val="32"/>
          <w:highlight w:val="none"/>
        </w:rPr>
        <w:t>同一批次产品</w:t>
      </w:r>
      <w:r>
        <w:rPr>
          <w:rFonts w:ascii="Times New Roman" w:hAnsi="Times New Roman" w:eastAsia="仿宋_GB2312"/>
          <w:sz w:val="32"/>
          <w:szCs w:val="32"/>
          <w:highlight w:val="none"/>
        </w:rPr>
        <w:t>5</w:t>
      </w:r>
      <w:r>
        <w:rPr>
          <w:rFonts w:eastAsia="仿宋_GB2312"/>
          <w:sz w:val="32"/>
          <w:szCs w:val="32"/>
          <w:highlight w:val="none"/>
        </w:rPr>
        <w:t>个样品的</w:t>
      </w:r>
      <w:r>
        <w:rPr>
          <w:rFonts w:hint="eastAsia" w:eastAsia="仿宋_GB2312"/>
          <w:sz w:val="32"/>
          <w:szCs w:val="32"/>
          <w:highlight w:val="none"/>
        </w:rPr>
        <w:t>菌落总数检测结果</w:t>
      </w:r>
      <w:r>
        <w:rPr>
          <w:rFonts w:ascii="Times New Roman" w:hAnsi="Times New Roman" w:eastAsia="仿宋_GB2312"/>
          <w:sz w:val="32"/>
          <w:szCs w:val="32"/>
          <w:highlight w:val="none"/>
        </w:rPr>
        <w:t>均不得超过10</w:t>
      </w:r>
      <w:r>
        <w:rPr>
          <w:rFonts w:hint="eastAsia" w:ascii="Times New Roman" w:hAnsi="Times New Roman" w:eastAsia="仿宋_GB2312"/>
          <w:sz w:val="32"/>
          <w:szCs w:val="32"/>
          <w:highlight w:val="none"/>
          <w:vertAlign w:val="superscript"/>
          <w:lang w:val="en-US" w:eastAsia="zh-CN"/>
        </w:rPr>
        <w:t>5</w:t>
      </w:r>
      <w:r>
        <w:rPr>
          <w:rFonts w:ascii="Times New Roman" w:hAnsi="Times New Roman" w:eastAsia="仿宋_GB2312"/>
          <w:sz w:val="32"/>
          <w:szCs w:val="32"/>
          <w:highlight w:val="none"/>
        </w:rPr>
        <w:t>CFU/g，</w:t>
      </w:r>
      <w:r>
        <w:rPr>
          <w:rFonts w:hint="eastAsia" w:ascii="Times New Roman" w:hAnsi="Times New Roman" w:eastAsia="仿宋_GB2312"/>
          <w:sz w:val="32"/>
          <w:szCs w:val="32"/>
          <w:highlight w:val="none"/>
        </w:rPr>
        <w:t>且最多允许1个样品的检测结果超过10</w:t>
      </w:r>
      <w:r>
        <w:rPr>
          <w:rFonts w:hint="eastAsia" w:ascii="Times New Roman" w:hAnsi="Times New Roman" w:eastAsia="仿宋_GB2312"/>
          <w:sz w:val="32"/>
          <w:szCs w:val="32"/>
          <w:highlight w:val="none"/>
          <w:vertAlign w:val="superscript"/>
          <w:lang w:val="en-US" w:eastAsia="zh-CN"/>
        </w:rPr>
        <w:t>4</w:t>
      </w:r>
      <w:r>
        <w:rPr>
          <w:rFonts w:hint="eastAsia" w:ascii="Times New Roman" w:hAnsi="Times New Roman" w:eastAsia="仿宋_GB2312"/>
          <w:sz w:val="32"/>
          <w:szCs w:val="32"/>
          <w:highlight w:val="none"/>
        </w:rPr>
        <w:t>CFU/g；</w:t>
      </w:r>
      <w:r>
        <w:rPr>
          <w:rFonts w:hint="eastAsia" w:ascii="Times New Roman" w:hAnsi="Times New Roman" w:eastAsia="仿宋_GB2312" w:cs="Times New Roman"/>
          <w:sz w:val="32"/>
          <w:szCs w:val="32"/>
          <w:highlight w:val="none"/>
        </w:rPr>
        <w:t>《食品安全国家标准 膨化食品》（GB 17401—2014）中规定，膨化食品同批次5个样品的菌落总数</w:t>
      </w:r>
      <w:r>
        <w:rPr>
          <w:rFonts w:ascii="Times New Roman" w:hAnsi="Times New Roman" w:eastAsia="仿宋_GB2312" w:cs="Times New Roman"/>
          <w:sz w:val="32"/>
          <w:szCs w:val="32"/>
          <w:highlight w:val="none"/>
        </w:rPr>
        <w:t>检测结果均不得超过10</w:t>
      </w:r>
      <w:r>
        <w:rPr>
          <w:rFonts w:hint="eastAsia" w:ascii="Times New Roman" w:hAnsi="Times New Roman" w:eastAsia="仿宋_GB2312" w:cs="Times New Roman"/>
          <w:sz w:val="32"/>
          <w:szCs w:val="32"/>
          <w:highlight w:val="none"/>
          <w:vertAlign w:val="superscript"/>
        </w:rPr>
        <w:t>5</w:t>
      </w:r>
      <w:r>
        <w:rPr>
          <w:rFonts w:ascii="Times New Roman" w:hAnsi="Times New Roman" w:eastAsia="仿宋_GB2312" w:cs="Times New Roman"/>
          <w:sz w:val="32"/>
          <w:szCs w:val="32"/>
          <w:highlight w:val="none"/>
        </w:rPr>
        <w:t>CFU/g，</w:t>
      </w:r>
      <w:r>
        <w:rPr>
          <w:rFonts w:hint="eastAsia" w:ascii="Times New Roman" w:hAnsi="Times New Roman" w:eastAsia="仿宋_GB2312" w:cs="Times New Roman"/>
          <w:sz w:val="32"/>
          <w:szCs w:val="32"/>
          <w:highlight w:val="none"/>
        </w:rPr>
        <w:t>且最多允许2个样品的检测结果超过10</w:t>
      </w:r>
      <w:r>
        <w:rPr>
          <w:rFonts w:hint="eastAsia" w:ascii="Times New Roman" w:hAnsi="Times New Roman" w:eastAsia="仿宋_GB2312" w:cs="Times New Roman"/>
          <w:sz w:val="32"/>
          <w:szCs w:val="32"/>
          <w:highlight w:val="none"/>
          <w:vertAlign w:val="superscript"/>
        </w:rPr>
        <w:t>4</w:t>
      </w:r>
      <w:r>
        <w:rPr>
          <w:rFonts w:hint="eastAsia" w:ascii="Times New Roman" w:hAnsi="Times New Roman" w:eastAsia="仿宋_GB2312" w:cs="Times New Roman"/>
          <w:sz w:val="32"/>
          <w:szCs w:val="32"/>
          <w:highlight w:val="none"/>
        </w:rPr>
        <w:t>CFU/g。方便冲调制品</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highlight w:val="none"/>
        </w:rPr>
        <w:t>糕点、</w:t>
      </w:r>
      <w:r>
        <w:rPr>
          <w:rFonts w:hint="eastAsia" w:ascii="Times New Roman" w:hAnsi="Times New Roman" w:eastAsia="仿宋_GB2312"/>
          <w:sz w:val="32"/>
          <w:szCs w:val="32"/>
          <w:highlight w:val="none"/>
        </w:rPr>
        <w:t>年糕、</w:t>
      </w:r>
      <w:r>
        <w:rPr>
          <w:rFonts w:hint="eastAsia" w:ascii="Times New Roman" w:hAnsi="Times New Roman" w:eastAsia="仿宋_GB2312" w:cs="Times New Roman"/>
          <w:sz w:val="32"/>
          <w:szCs w:val="32"/>
          <w:highlight w:val="none"/>
        </w:rPr>
        <w:t>膨化食品</w:t>
      </w:r>
      <w:r>
        <w:rPr>
          <w:rFonts w:ascii="Times New Roman" w:hAnsi="Times New Roman" w:eastAsia="仿宋_GB2312" w:cs="Times New Roman"/>
          <w:sz w:val="32"/>
          <w:szCs w:val="32"/>
          <w:highlight w:val="none"/>
        </w:rPr>
        <w:t>中菌落总数超标的原因，可能是企业未按要求严格控制生产加工过程中的卫生条件，也可能与产品包装密封不严或储运条件不当等有关。</w:t>
      </w:r>
    </w:p>
    <w:p>
      <w:pPr>
        <w:pStyle w:val="8"/>
        <w:numPr>
          <w:ilvl w:val="0"/>
          <w:numId w:val="1"/>
        </w:numPr>
        <w:spacing w:after="0" w:line="594"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金黄色葡萄球菌</w:t>
      </w:r>
    </w:p>
    <w:p>
      <w:pPr>
        <w:pStyle w:val="17"/>
        <w:spacing w:line="594" w:lineRule="exact"/>
        <w:ind w:firstLine="640"/>
        <w:rPr>
          <w:rFonts w:hint="eastAsia" w:ascii="黑体" w:hAnsi="黑体" w:eastAsia="黑体" w:cs="黑体"/>
          <w:sz w:val="32"/>
          <w:szCs w:val="32"/>
          <w:highlight w:val="none"/>
          <w:lang w:eastAsia="zh-CN"/>
        </w:rPr>
      </w:pPr>
      <w:r>
        <w:rPr>
          <w:rFonts w:hint="eastAsia" w:ascii="Times New Roman" w:hAnsi="Times New Roman" w:eastAsia="仿宋_GB2312" w:cs="Times New Roman"/>
          <w:sz w:val="32"/>
          <w:szCs w:val="32"/>
          <w:highlight w:val="none"/>
        </w:rPr>
        <w:t>金黄色葡萄球菌是一种常见的病原菌。一旦食物保存不当，金黄色葡萄球菌可大量繁殖，</w:t>
      </w:r>
      <w:r>
        <w:rPr>
          <w:rFonts w:hint="eastAsia" w:ascii="仿宋_GB2312" w:hAnsi="Times New Roman" w:eastAsia="仿宋_GB2312" w:cs="Times New Roman"/>
          <w:sz w:val="32"/>
          <w:szCs w:val="32"/>
          <w:highlight w:val="none"/>
        </w:rPr>
        <w:t>食用被</w:t>
      </w:r>
      <w:r>
        <w:rPr>
          <w:rFonts w:hint="eastAsia" w:ascii="Times New Roman" w:hAnsi="Times New Roman" w:eastAsia="仿宋_GB2312" w:cs="Times New Roman"/>
          <w:sz w:val="32"/>
          <w:szCs w:val="32"/>
          <w:highlight w:val="none"/>
        </w:rPr>
        <w:t>金黄色葡萄球菌严重</w:t>
      </w:r>
      <w:r>
        <w:rPr>
          <w:rFonts w:hint="eastAsia" w:ascii="仿宋_GB2312" w:hAnsi="Times New Roman" w:eastAsia="仿宋_GB2312" w:cs="Times New Roman"/>
          <w:sz w:val="32"/>
          <w:szCs w:val="32"/>
          <w:highlight w:val="none"/>
        </w:rPr>
        <w:t>污染的食物，</w:t>
      </w:r>
      <w:r>
        <w:rPr>
          <w:rFonts w:hint="eastAsia" w:ascii="Times New Roman" w:hAnsi="Times New Roman" w:eastAsia="仿宋_GB2312" w:cs="Times New Roman"/>
          <w:sz w:val="32"/>
          <w:szCs w:val="32"/>
          <w:highlight w:val="none"/>
        </w:rPr>
        <w:t>可能会引起食物中毒</w:t>
      </w:r>
      <w:r>
        <w:rPr>
          <w:rFonts w:hint="eastAsia" w:ascii="Times New Roman" w:hAnsi="Times New Roman" w:eastAsia="仿宋_GB2312" w:cs="Times New Roman"/>
          <w:sz w:val="32"/>
          <w:szCs w:val="32"/>
          <w:highlight w:val="none"/>
          <w:lang w:eastAsia="zh-CN"/>
        </w:rPr>
        <w:t>，产生</w:t>
      </w:r>
      <w:r>
        <w:rPr>
          <w:rFonts w:hint="eastAsia" w:ascii="Times New Roman" w:hAnsi="Times New Roman" w:eastAsia="仿宋_GB2312" w:cs="Times New Roman"/>
          <w:sz w:val="32"/>
          <w:szCs w:val="32"/>
          <w:highlight w:val="none"/>
        </w:rPr>
        <w:t>剧烈呕吐、发热、腹泻等症状。</w:t>
      </w:r>
      <w:r>
        <w:rPr>
          <w:rFonts w:hint="eastAsia" w:ascii="仿宋_GB2312" w:hAnsi="Times New Roman" w:eastAsia="仿宋_GB2312" w:cs="Times New Roman"/>
          <w:sz w:val="32"/>
          <w:szCs w:val="32"/>
          <w:highlight w:val="none"/>
        </w:rPr>
        <w:t>《食品安全国家标准 食品中致病菌限量》</w:t>
      </w:r>
      <w:r>
        <w:rPr>
          <w:rFonts w:ascii="Times New Roman" w:hAnsi="Times New Roman" w:eastAsia="仿宋_GB2312" w:cs="Times New Roman"/>
          <w:sz w:val="32"/>
          <w:szCs w:val="32"/>
          <w:highlight w:val="none"/>
        </w:rPr>
        <w:t>（GB 29921</w:t>
      </w:r>
      <w:r>
        <w:rPr>
          <w:rFonts w:hint="eastAsia" w:ascii="仿宋_GB2312" w:hAnsi="Times New Roman" w:eastAsia="仿宋_GB2312" w:cs="Times New Roman"/>
          <w:sz w:val="32"/>
          <w:szCs w:val="32"/>
          <w:highlight w:val="none"/>
        </w:rPr>
        <w:t>—</w:t>
      </w:r>
      <w:r>
        <w:rPr>
          <w:rFonts w:ascii="Times New Roman" w:hAnsi="Times New Roman" w:eastAsia="仿宋_GB2312" w:cs="Times New Roman"/>
          <w:sz w:val="32"/>
          <w:szCs w:val="32"/>
          <w:highlight w:val="none"/>
        </w:rPr>
        <w:t>2013）中规定</w:t>
      </w:r>
      <w:r>
        <w:rPr>
          <w:rFonts w:hint="eastAsia" w:ascii="Times New Roman" w:hAnsi="Times New Roman" w:eastAsia="仿宋_GB2312" w:cs="Times New Roman"/>
          <w:sz w:val="32"/>
          <w:szCs w:val="32"/>
          <w:highlight w:val="none"/>
        </w:rPr>
        <w:t>，</w:t>
      </w:r>
      <w:r>
        <w:rPr>
          <w:rFonts w:hint="eastAsia" w:eastAsia="仿宋_GB2312" w:cs="Times New Roman"/>
          <w:sz w:val="32"/>
          <w:szCs w:val="32"/>
          <w:highlight w:val="none"/>
        </w:rPr>
        <w:t>糕点食品同一批次产品</w:t>
      </w:r>
      <w:r>
        <w:rPr>
          <w:rFonts w:ascii="Times New Roman" w:hAnsi="Times New Roman" w:eastAsia="仿宋_GB2312" w:cs="Times New Roman"/>
          <w:sz w:val="32"/>
          <w:szCs w:val="32"/>
          <w:highlight w:val="none"/>
        </w:rPr>
        <w:t>5</w:t>
      </w:r>
      <w:r>
        <w:rPr>
          <w:rFonts w:hint="eastAsia" w:eastAsia="仿宋_GB2312" w:cs="Times New Roman"/>
          <w:sz w:val="32"/>
          <w:szCs w:val="32"/>
          <w:highlight w:val="none"/>
        </w:rPr>
        <w:t>个样品的金黄色葡萄球菌检测结果均不得超过</w:t>
      </w:r>
      <w:r>
        <w:rPr>
          <w:rFonts w:hint="eastAsia"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vertAlign w:val="superscript"/>
        </w:rPr>
        <w:t>3</w:t>
      </w:r>
      <w:r>
        <w:rPr>
          <w:rFonts w:hint="eastAsia" w:ascii="Times New Roman" w:hAnsi="Times New Roman" w:eastAsia="仿宋_GB2312" w:cs="Times New Roman"/>
          <w:sz w:val="32"/>
          <w:szCs w:val="32"/>
          <w:highlight w:val="none"/>
        </w:rPr>
        <w:t>CFU/g</w:t>
      </w:r>
      <w:r>
        <w:rPr>
          <w:rFonts w:hint="eastAsia" w:eastAsia="仿宋_GB2312" w:cs="Times New Roman"/>
          <w:sz w:val="32"/>
          <w:szCs w:val="32"/>
          <w:highlight w:val="none"/>
        </w:rPr>
        <w:t>，</w:t>
      </w:r>
      <w:r>
        <w:rPr>
          <w:rFonts w:ascii="Times New Roman" w:hAnsi="Times New Roman" w:eastAsia="仿宋_GB2312" w:cs="Times New Roman"/>
          <w:sz w:val="32"/>
          <w:szCs w:val="32"/>
          <w:highlight w:val="none"/>
        </w:rPr>
        <w:t>且最多允许</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个样品的</w:t>
      </w:r>
      <w:r>
        <w:rPr>
          <w:rFonts w:ascii="Times New Roman" w:hAnsi="Times New Roman" w:eastAsia="仿宋_GB2312" w:cs="Times New Roman"/>
          <w:color w:val="000000"/>
          <w:sz w:val="32"/>
          <w:szCs w:val="32"/>
          <w:highlight w:val="none"/>
        </w:rPr>
        <w:t>检测结果超过</w:t>
      </w:r>
      <w:r>
        <w:rPr>
          <w:rFonts w:hint="eastAsia" w:ascii="Times New Roman" w:hAnsi="Times New Roman" w:eastAsia="仿宋_GB2312" w:cs="Times New Roman"/>
          <w:sz w:val="32"/>
          <w:szCs w:val="32"/>
          <w:highlight w:val="none"/>
        </w:rPr>
        <w:t>10</w:t>
      </w:r>
      <w:r>
        <w:rPr>
          <w:rFonts w:hint="eastAsia" w:ascii="Times New Roman" w:hAnsi="Times New Roman" w:eastAsia="仿宋_GB2312" w:cs="Times New Roman"/>
          <w:sz w:val="32"/>
          <w:szCs w:val="32"/>
          <w:highlight w:val="none"/>
          <w:vertAlign w:val="superscript"/>
        </w:rPr>
        <w:t>2</w:t>
      </w:r>
      <w:r>
        <w:rPr>
          <w:rFonts w:hint="eastAsia" w:ascii="Times New Roman" w:hAnsi="Times New Roman" w:eastAsia="仿宋_GB2312" w:cs="Times New Roman"/>
          <w:sz w:val="32"/>
          <w:szCs w:val="32"/>
          <w:highlight w:val="none"/>
        </w:rPr>
        <w:t>CFU/g</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糕点中金黄色葡萄球菌数超标的</w:t>
      </w:r>
      <w:r>
        <w:rPr>
          <w:rFonts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可能</w:t>
      </w:r>
      <w:r>
        <w:rPr>
          <w:rFonts w:hint="eastAsia" w:ascii="Times New Roman" w:hAnsi="Times New Roman" w:eastAsia="仿宋_GB2312" w:cs="Times New Roman"/>
          <w:sz w:val="32"/>
          <w:szCs w:val="32"/>
          <w:highlight w:val="none"/>
        </w:rPr>
        <w:t>是</w:t>
      </w:r>
      <w:r>
        <w:rPr>
          <w:rFonts w:ascii="Times New Roman" w:hAnsi="Times New Roman" w:eastAsia="仿宋_GB2312" w:cs="Times New Roman"/>
          <w:sz w:val="32"/>
          <w:szCs w:val="32"/>
          <w:highlight w:val="none"/>
        </w:rPr>
        <w:t>生产加工人员带菌造成污染</w:t>
      </w:r>
      <w:r>
        <w:rPr>
          <w:rFonts w:hint="eastAsia" w:ascii="Times New Roman" w:hAnsi="Times New Roman" w:eastAsia="仿宋_GB2312" w:cs="Times New Roman"/>
          <w:sz w:val="32"/>
          <w:szCs w:val="32"/>
          <w:highlight w:val="none"/>
        </w:rPr>
        <w:t>；也可能是</w:t>
      </w:r>
      <w:r>
        <w:rPr>
          <w:rFonts w:ascii="Times New Roman" w:hAnsi="Times New Roman" w:eastAsia="仿宋_GB2312" w:cs="Times New Roman"/>
          <w:sz w:val="32"/>
          <w:szCs w:val="32"/>
          <w:highlight w:val="none"/>
        </w:rPr>
        <w:t>原料污染</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生产过程卫生</w:t>
      </w:r>
      <w:r>
        <w:rPr>
          <w:rFonts w:ascii="仿宋_GB2312" w:hAnsi="Times New Roman" w:eastAsia="仿宋_GB2312" w:cs="Times New Roman"/>
          <w:sz w:val="32"/>
          <w:szCs w:val="32"/>
          <w:highlight w:val="none"/>
        </w:rPr>
        <w:t>条件控制不当</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杀菌不彻底</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产品交叉污染</w:t>
      </w:r>
      <w:r>
        <w:rPr>
          <w:rFonts w:hint="eastAsia" w:ascii="仿宋_GB2312" w:hAnsi="Times New Roman" w:eastAsia="仿宋_GB2312" w:cs="Times New Roman"/>
          <w:sz w:val="32"/>
          <w:szCs w:val="32"/>
          <w:highlight w:val="none"/>
        </w:rPr>
        <w:t>；还可能与产品</w:t>
      </w:r>
      <w:r>
        <w:rPr>
          <w:rFonts w:ascii="仿宋_GB2312" w:hAnsi="Times New Roman" w:eastAsia="仿宋_GB2312" w:cs="Times New Roman"/>
          <w:sz w:val="32"/>
          <w:szCs w:val="32"/>
          <w:highlight w:val="none"/>
        </w:rPr>
        <w:t>储运不当</w:t>
      </w:r>
      <w:r>
        <w:rPr>
          <w:rFonts w:hint="eastAsia" w:ascii="仿宋_GB2312" w:hAnsi="Times New Roman" w:eastAsia="仿宋_GB2312" w:cs="Times New Roman"/>
          <w:sz w:val="32"/>
          <w:szCs w:val="32"/>
          <w:highlight w:val="none"/>
        </w:rPr>
        <w:t>有关</w:t>
      </w:r>
      <w:r>
        <w:rPr>
          <w:rFonts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592" w:firstLineChars="200"/>
        <w:textAlignment w:val="auto"/>
        <w:rPr>
          <w:rFonts w:hint="eastAsia" w:eastAsia="黑体"/>
          <w:spacing w:val="-12"/>
          <w:sz w:val="32"/>
          <w:szCs w:val="32"/>
          <w:highlight w:val="none"/>
          <w:lang w:eastAsia="zh-CN"/>
        </w:rPr>
      </w:pPr>
      <w:r>
        <w:rPr>
          <w:rFonts w:hint="eastAsia" w:eastAsia="黑体"/>
          <w:spacing w:val="-12"/>
          <w:sz w:val="32"/>
          <w:szCs w:val="32"/>
          <w:highlight w:val="none"/>
          <w:lang w:eastAsia="zh-CN"/>
        </w:rPr>
        <w:t>四</w:t>
      </w:r>
      <w:r>
        <w:rPr>
          <w:rFonts w:hint="eastAsia" w:eastAsia="黑体"/>
          <w:spacing w:val="-12"/>
          <w:sz w:val="32"/>
          <w:szCs w:val="32"/>
          <w:highlight w:val="none"/>
        </w:rPr>
        <w:t>、</w:t>
      </w:r>
      <w:r>
        <w:rPr>
          <w:rFonts w:hint="eastAsia" w:eastAsia="黑体"/>
          <w:spacing w:val="-12"/>
          <w:sz w:val="32"/>
          <w:szCs w:val="32"/>
          <w:highlight w:val="none"/>
          <w:lang w:eastAsia="zh-CN"/>
        </w:rPr>
        <w:t>香兰素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Times New Roman"/>
          <w:color w:val="000000"/>
          <w:sz w:val="32"/>
          <w:szCs w:val="32"/>
          <w:highlight w:val="none"/>
          <w:lang w:val="en-US" w:eastAsia="zh-CN"/>
        </w:rPr>
      </w:pPr>
      <w:r>
        <w:rPr>
          <w:rFonts w:ascii="Times New Roman" w:hAnsi="Times New Roman" w:eastAsia="仿宋_GB2312"/>
          <w:sz w:val="32"/>
          <w:highlight w:val="none"/>
        </w:rPr>
        <w:t>香兰素是一种常用食品添加剂，因具有香荚兰豆香气及浓郁的奶香，广泛运用于各种需要增加奶香气的调香食品中，尤其是乳制品、烘焙食品、饮料和食用油中</w:t>
      </w:r>
      <w:r>
        <w:rPr>
          <w:rFonts w:hint="eastAsia" w:ascii="Times New Roman" w:hAnsi="Times New Roman" w:eastAsia="仿宋_GB2312"/>
          <w:sz w:val="32"/>
          <w:highlight w:val="none"/>
          <w:lang w:eastAsia="zh-CN"/>
        </w:rPr>
        <w:t>。按照标准要求使用</w:t>
      </w:r>
      <w:r>
        <w:rPr>
          <w:rFonts w:ascii="Times New Roman" w:hAnsi="Times New Roman" w:eastAsia="仿宋_GB2312"/>
          <w:sz w:val="32"/>
          <w:highlight w:val="none"/>
        </w:rPr>
        <w:t>香兰素</w:t>
      </w:r>
      <w:r>
        <w:rPr>
          <w:rFonts w:hint="eastAsia" w:ascii="Times New Roman" w:hAnsi="Times New Roman" w:eastAsia="仿宋_GB2312"/>
          <w:sz w:val="32"/>
          <w:highlight w:val="none"/>
          <w:lang w:eastAsia="zh-CN"/>
        </w:rPr>
        <w:t>不会对人体造成健康危害，但大量</w:t>
      </w:r>
      <w:r>
        <w:rPr>
          <w:rFonts w:ascii="Times New Roman" w:hAnsi="Times New Roman" w:eastAsia="仿宋_GB2312"/>
          <w:sz w:val="32"/>
          <w:highlight w:val="none"/>
        </w:rPr>
        <w:t>摄入香兰素会导致头晕、恶心</w:t>
      </w:r>
      <w:r>
        <w:rPr>
          <w:rFonts w:hint="eastAsia" w:ascii="Times New Roman" w:hAnsi="Times New Roman" w:eastAsia="仿宋_GB2312"/>
          <w:sz w:val="32"/>
          <w:highlight w:val="none"/>
          <w:lang w:eastAsia="zh-CN"/>
        </w:rPr>
        <w:t>等症状，</w:t>
      </w:r>
      <w:r>
        <w:rPr>
          <w:rFonts w:ascii="Times New Roman" w:hAnsi="Times New Roman" w:eastAsia="仿宋_GB2312"/>
          <w:sz w:val="32"/>
          <w:highlight w:val="none"/>
        </w:rPr>
        <w:t>严重</w:t>
      </w:r>
      <w:r>
        <w:rPr>
          <w:rFonts w:hint="eastAsia" w:ascii="Times New Roman" w:hAnsi="Times New Roman" w:eastAsia="仿宋_GB2312"/>
          <w:sz w:val="32"/>
          <w:highlight w:val="none"/>
          <w:lang w:eastAsia="zh-CN"/>
        </w:rPr>
        <w:t>时会</w:t>
      </w:r>
      <w:r>
        <w:rPr>
          <w:rFonts w:ascii="Times New Roman" w:hAnsi="Times New Roman" w:eastAsia="仿宋_GB2312"/>
          <w:sz w:val="32"/>
          <w:highlight w:val="none"/>
        </w:rPr>
        <w:t>造成肝、肾损伤。</w:t>
      </w:r>
      <w:r>
        <w:rPr>
          <w:rFonts w:hint="eastAsia" w:ascii="Times New Roman" w:hAnsi="Times New Roman" w:eastAsia="仿宋_GB2312"/>
          <w:sz w:val="32"/>
          <w:highlight w:val="none"/>
        </w:rPr>
        <w:t>《食品安全国家标准 食品添加剂使用标准》（GB 2760—2014）中规定，0至6个月婴幼儿配方食品中不得添加任何食用香料，较大婴儿和幼儿配方食品可按照规定限量使用香兰素。1段婴儿配方乳粉检出香兰素的原因，可能是企业在切换不同月龄婴幼儿食品生产线时，清场不彻底导致</w:t>
      </w:r>
      <w:r>
        <w:rPr>
          <w:rFonts w:hint="eastAsia" w:ascii="Times New Roman" w:hAnsi="Times New Roman" w:eastAsia="仿宋_GB2312"/>
          <w:sz w:val="32"/>
          <w:highlight w:val="none"/>
          <w:lang w:eastAsia="zh-CN"/>
        </w:rPr>
        <w:t>；</w:t>
      </w:r>
      <w:r>
        <w:rPr>
          <w:rFonts w:hint="eastAsia" w:ascii="Times New Roman" w:hAnsi="Times New Roman" w:eastAsia="仿宋_GB2312"/>
          <w:sz w:val="32"/>
          <w:highlight w:val="none"/>
        </w:rPr>
        <w:t>也可能是不法商贩为了达到以次充好、以假乱真等目的，违法添加此类物质。</w:t>
      </w:r>
    </w:p>
    <w:p>
      <w:pPr>
        <w:adjustRightInd w:val="0"/>
        <w:snapToGrid w:val="0"/>
        <w:spacing w:line="594" w:lineRule="exact"/>
        <w:ind w:firstLine="640" w:firstLineChars="200"/>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五</w:t>
      </w:r>
      <w:r>
        <w:rPr>
          <w:rFonts w:ascii="Times New Roman" w:hAnsi="Times New Roman" w:eastAsia="黑体" w:cs="Times New Roman"/>
          <w:color w:val="000000"/>
          <w:sz w:val="32"/>
          <w:szCs w:val="32"/>
          <w:highlight w:val="none"/>
        </w:rPr>
        <w:t>、亮蓝</w:t>
      </w:r>
    </w:p>
    <w:p>
      <w:pPr>
        <w:adjustRightInd w:val="0"/>
        <w:snapToGrid w:val="0"/>
        <w:spacing w:line="594"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亮蓝又名食用蓝色2号，水溶性非偶氮类化合物，是常见的人工合成着色剂，在食品生产中应用广泛。如果长期摄入亮蓝超标的食品，存在致畸、致癌的可能性。《食品安全国家标准 食品添加剂使用标准》（GB 2760</w:t>
      </w:r>
      <w:r>
        <w:rPr>
          <w:rFonts w:hint="eastAsia" w:ascii="Times New Roman" w:hAnsi="Times New Roman" w:eastAsia="仿宋_GB2312"/>
          <w:sz w:val="32"/>
          <w:szCs w:val="32"/>
          <w:highlight w:val="none"/>
        </w:rPr>
        <w:t>—</w:t>
      </w:r>
      <w:r>
        <w:rPr>
          <w:rFonts w:ascii="Times New Roman" w:hAnsi="Times New Roman" w:eastAsia="仿宋_GB2312" w:cs="Times New Roman"/>
          <w:color w:val="000000"/>
          <w:sz w:val="32"/>
          <w:szCs w:val="32"/>
          <w:highlight w:val="none"/>
        </w:rPr>
        <w:t>2014）中规定，凉果类蜜饯中亮蓝的最大使用量为0.025g/kg。凉果类蜜饯中亮蓝</w:t>
      </w:r>
      <w:r>
        <w:rPr>
          <w:rFonts w:ascii="Times New Roman" w:hAnsi="Times New Roman" w:eastAsia="仿宋_GB2312" w:cs="Times New Roman"/>
          <w:sz w:val="32"/>
          <w:szCs w:val="32"/>
          <w:highlight w:val="none"/>
        </w:rPr>
        <w:t>检测值</w:t>
      </w:r>
      <w:r>
        <w:rPr>
          <w:rFonts w:hint="eastAsia" w:ascii="Times New Roman" w:hAnsi="Times New Roman" w:eastAsia="仿宋_GB2312" w:cs="Times New Roman"/>
          <w:sz w:val="32"/>
          <w:szCs w:val="32"/>
          <w:highlight w:val="none"/>
        </w:rPr>
        <w:t>超出</w:t>
      </w:r>
      <w:r>
        <w:rPr>
          <w:rFonts w:ascii="Times New Roman" w:hAnsi="Times New Roman" w:eastAsia="仿宋_GB2312" w:cs="Times New Roman"/>
          <w:sz w:val="32"/>
          <w:szCs w:val="32"/>
          <w:highlight w:val="none"/>
        </w:rPr>
        <w:t>标准值</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可能是</w:t>
      </w:r>
      <w:r>
        <w:rPr>
          <w:rFonts w:ascii="Times New Roman" w:hAnsi="Times New Roman" w:eastAsia="仿宋_GB2312" w:cs="Times New Roman"/>
          <w:color w:val="000000"/>
          <w:sz w:val="32"/>
          <w:szCs w:val="32"/>
          <w:highlight w:val="none"/>
        </w:rPr>
        <w:t>生产过程中计量不准导致终产品亮蓝超标，也可能是生产企业为改善产品色泽、提高市场价值而过量使用，还可能是企业掺假造假滥用色素。</w:t>
      </w:r>
    </w:p>
    <w:p>
      <w:pPr>
        <w:adjustRightInd w:val="0"/>
        <w:snapToGrid w:val="0"/>
        <w:spacing w:line="594" w:lineRule="exact"/>
        <w:ind w:firstLine="640" w:firstLineChars="200"/>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六</w:t>
      </w:r>
      <w:r>
        <w:rPr>
          <w:rFonts w:ascii="Times New Roman" w:hAnsi="Times New Roman" w:eastAsia="黑体" w:cs="Times New Roman"/>
          <w:color w:val="000000"/>
          <w:sz w:val="32"/>
          <w:szCs w:val="32"/>
          <w:highlight w:val="none"/>
        </w:rPr>
        <w:t>、苋菜红</w:t>
      </w:r>
    </w:p>
    <w:p>
      <w:pPr>
        <w:adjustRightInd w:val="0"/>
        <w:snapToGrid w:val="0"/>
        <w:spacing w:line="594"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苋菜红又名蓝光酸性红，偶氮类化合物，是常见的人工合成着色剂，在食品生产中应用广泛。如果长期摄入苋菜红超标的食品，存在致畸、致癌的可能性。《食品安全国家标准 食品添加剂使用标准》（GB 2760</w:t>
      </w:r>
      <w:r>
        <w:rPr>
          <w:rFonts w:hint="eastAsia" w:ascii="Times New Roman" w:hAnsi="Times New Roman" w:eastAsia="仿宋_GB2312"/>
          <w:sz w:val="32"/>
          <w:szCs w:val="32"/>
          <w:highlight w:val="none"/>
        </w:rPr>
        <w:t>—</w:t>
      </w:r>
      <w:r>
        <w:rPr>
          <w:rFonts w:ascii="Times New Roman" w:hAnsi="Times New Roman" w:eastAsia="仿宋_GB2312" w:cs="Times New Roman"/>
          <w:color w:val="000000"/>
          <w:sz w:val="32"/>
          <w:szCs w:val="32"/>
          <w:highlight w:val="none"/>
        </w:rPr>
        <w:t>2014）中规定，蜜饯凉果中苋菜红的最大使用量为0.05g/kg。蜜饯凉果中苋菜红</w:t>
      </w:r>
      <w:r>
        <w:rPr>
          <w:rFonts w:ascii="Times New Roman" w:hAnsi="Times New Roman" w:eastAsia="仿宋_GB2312" w:cs="Times New Roman"/>
          <w:sz w:val="32"/>
          <w:szCs w:val="32"/>
          <w:highlight w:val="none"/>
        </w:rPr>
        <w:t>检测值超出标准值</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原因</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可能是</w:t>
      </w:r>
      <w:r>
        <w:rPr>
          <w:rFonts w:ascii="Times New Roman" w:hAnsi="Times New Roman" w:eastAsia="仿宋_GB2312" w:cs="Times New Roman"/>
          <w:color w:val="000000"/>
          <w:sz w:val="32"/>
          <w:szCs w:val="32"/>
          <w:highlight w:val="none"/>
        </w:rPr>
        <w:t>生产企业为改善产品色泽、提高市场价值而过量使用，也可能是企业掺假造假滥用色素。</w:t>
      </w:r>
    </w:p>
    <w:p>
      <w:pPr>
        <w:adjustRightInd w:val="0"/>
        <w:snapToGrid w:val="0"/>
        <w:spacing w:line="594" w:lineRule="exact"/>
        <w:ind w:firstLine="640" w:firstLineChars="200"/>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七</w:t>
      </w:r>
      <w:r>
        <w:rPr>
          <w:rFonts w:ascii="Times New Roman" w:hAnsi="Times New Roman" w:eastAsia="黑体" w:cs="Times New Roman"/>
          <w:color w:val="000000"/>
          <w:sz w:val="32"/>
          <w:szCs w:val="32"/>
          <w:highlight w:val="none"/>
        </w:rPr>
        <w:t>、相同色泽着色剂混合使用时各自用量占其最大使用量的比例之和</w:t>
      </w:r>
    </w:p>
    <w:p>
      <w:pPr>
        <w:adjustRightInd w:val="0"/>
        <w:snapToGrid w:val="0"/>
        <w:spacing w:line="594"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着色剂又称食用色素，用于赋予和改善食品的色泽。如果长期过量摄入，会加重肝脏和胃肠道的负担，对人体健康造成一定危害。《食品安全国家标准 食品添加剂使用标准》（GB 2760</w:t>
      </w:r>
      <w:r>
        <w:rPr>
          <w:rFonts w:hint="eastAsia" w:ascii="Times New Roman" w:hAnsi="Times New Roman" w:eastAsia="仿宋_GB2312"/>
          <w:sz w:val="32"/>
          <w:szCs w:val="32"/>
          <w:highlight w:val="none"/>
        </w:rPr>
        <w:t>—</w:t>
      </w:r>
      <w:r>
        <w:rPr>
          <w:rFonts w:ascii="Times New Roman" w:hAnsi="Times New Roman" w:eastAsia="仿宋_GB2312" w:cs="Times New Roman"/>
          <w:color w:val="000000"/>
          <w:sz w:val="32"/>
          <w:szCs w:val="32"/>
          <w:highlight w:val="none"/>
        </w:rPr>
        <w:t>2014）中规定，相同色泽着色剂混合使用时各自用量占其最大使用量的比例之和不应超过1。蜜饯中相同色泽着色剂混合使用时各自用量占其最大使用量的比例之和</w:t>
      </w:r>
      <w:r>
        <w:rPr>
          <w:rFonts w:hint="eastAsia" w:ascii="Times New Roman" w:hAnsi="Times New Roman" w:eastAsia="仿宋_GB2312" w:cs="Times New Roman"/>
          <w:sz w:val="32"/>
          <w:szCs w:val="32"/>
          <w:highlight w:val="none"/>
        </w:rPr>
        <w:t>超出</w:t>
      </w:r>
      <w:r>
        <w:rPr>
          <w:rFonts w:ascii="Times New Roman" w:hAnsi="Times New Roman" w:eastAsia="仿宋_GB2312" w:cs="Times New Roman"/>
          <w:sz w:val="32"/>
          <w:szCs w:val="32"/>
          <w:highlight w:val="none"/>
        </w:rPr>
        <w:t>标准值</w:t>
      </w:r>
      <w:r>
        <w:rPr>
          <w:rFonts w:hint="eastAsia" w:ascii="Times New Roman" w:hAnsi="Times New Roman" w:eastAsia="仿宋_GB2312" w:cs="Times New Roman"/>
          <w:color w:val="000000"/>
          <w:sz w:val="32"/>
          <w:szCs w:val="32"/>
          <w:highlight w:val="none"/>
        </w:rPr>
        <w:t>的原因，</w:t>
      </w:r>
      <w:r>
        <w:rPr>
          <w:rFonts w:ascii="Times New Roman" w:hAnsi="Times New Roman" w:eastAsia="仿宋_GB2312" w:cs="Times New Roman"/>
          <w:color w:val="000000"/>
          <w:sz w:val="32"/>
          <w:szCs w:val="32"/>
          <w:highlight w:val="none"/>
        </w:rPr>
        <w:t>可能是生产企业对食品安全国家标准不了解而超限量添加多种相同色泽着色剂，也可能是在生产加工过程中未严格控制各相同色泽着色剂的用量。</w:t>
      </w:r>
    </w:p>
    <w:p>
      <w:pPr>
        <w:adjustRightInd w:val="0"/>
        <w:snapToGrid w:val="0"/>
        <w:spacing w:line="594" w:lineRule="exact"/>
        <w:ind w:firstLine="640" w:firstLineChars="200"/>
        <w:rPr>
          <w:rFonts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eastAsia="zh-CN"/>
        </w:rPr>
        <w:t>八</w:t>
      </w:r>
      <w:r>
        <w:rPr>
          <w:rFonts w:ascii="Times New Roman" w:hAnsi="Times New Roman" w:eastAsia="黑体" w:cs="Times New Roman"/>
          <w:color w:val="000000"/>
          <w:sz w:val="32"/>
          <w:szCs w:val="32"/>
          <w:highlight w:val="none"/>
        </w:rPr>
        <w:t>、胭脂红</w:t>
      </w:r>
    </w:p>
    <w:p>
      <w:pPr>
        <w:adjustRightInd w:val="0"/>
        <w:snapToGrid w:val="0"/>
        <w:spacing w:line="594" w:lineRule="exact"/>
        <w:ind w:firstLine="640" w:firstLineChars="200"/>
        <w:contextualSpacing/>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胭脂红又名大红、亮猩红，偶氮类化合物，是常见的人工合成着色剂，在食品生产中应用广泛。胭脂红在动物试验无中毒现象，但是如果长期摄入胭脂红超标的食品，存在致畸、致癌的可能性。《食品安全国家标准 食品添加剂使用标准》（GB 2760</w:t>
      </w:r>
      <w:r>
        <w:rPr>
          <w:rFonts w:hint="eastAsia" w:ascii="Times New Roman" w:hAnsi="Times New Roman" w:eastAsia="仿宋_GB2312"/>
          <w:sz w:val="32"/>
          <w:szCs w:val="32"/>
          <w:highlight w:val="none"/>
        </w:rPr>
        <w:t>—</w:t>
      </w:r>
      <w:r>
        <w:rPr>
          <w:rFonts w:ascii="Times New Roman" w:hAnsi="Times New Roman" w:eastAsia="仿宋_GB2312" w:cs="Times New Roman"/>
          <w:color w:val="000000"/>
          <w:sz w:val="32"/>
          <w:szCs w:val="32"/>
          <w:highlight w:val="none"/>
        </w:rPr>
        <w:t>2014）中规定，蜜饯凉果中胭脂红的最大使用量为0.05g/kg。蜜饯凉果中胭脂红检测值</w:t>
      </w:r>
      <w:r>
        <w:rPr>
          <w:rFonts w:hint="eastAsia" w:ascii="Times New Roman" w:hAnsi="Times New Roman" w:eastAsia="仿宋_GB2312" w:cs="Times New Roman"/>
          <w:sz w:val="32"/>
          <w:szCs w:val="32"/>
          <w:highlight w:val="none"/>
        </w:rPr>
        <w:t>超出</w:t>
      </w:r>
      <w:r>
        <w:rPr>
          <w:rFonts w:ascii="Times New Roman" w:hAnsi="Times New Roman" w:eastAsia="仿宋_GB2312" w:cs="Times New Roman"/>
          <w:sz w:val="32"/>
          <w:szCs w:val="32"/>
          <w:highlight w:val="none"/>
        </w:rPr>
        <w:t>标准值</w:t>
      </w:r>
      <w:r>
        <w:rPr>
          <w:rFonts w:hint="eastAsia" w:ascii="Times New Roman" w:hAnsi="Times New Roman" w:eastAsia="仿宋_GB2312" w:cs="Times New Roman"/>
          <w:color w:val="000000"/>
          <w:sz w:val="32"/>
          <w:szCs w:val="32"/>
          <w:highlight w:val="none"/>
        </w:rPr>
        <w:t>的</w:t>
      </w:r>
      <w:r>
        <w:rPr>
          <w:rFonts w:ascii="Times New Roman" w:hAnsi="Times New Roman" w:eastAsia="仿宋_GB2312" w:cs="Times New Roman"/>
          <w:color w:val="000000"/>
          <w:sz w:val="32"/>
          <w:szCs w:val="32"/>
          <w:highlight w:val="none"/>
        </w:rPr>
        <w:t>原因</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可能是生产过程中计量不准导致终产品胭脂红超标，也可能是生产企业为改善产品色泽、提高市场价值而过量使用，还可能是企业掺假造假滥用色素。</w:t>
      </w:r>
    </w:p>
    <w:p>
      <w:pPr>
        <w:pStyle w:val="8"/>
        <w:numPr>
          <w:ilvl w:val="0"/>
          <w:numId w:val="0"/>
        </w:numPr>
        <w:spacing w:after="0" w:line="594" w:lineRule="exact"/>
        <w:ind w:leftChars="200" w:firstLine="320" w:firstLineChars="100"/>
        <w:rPr>
          <w:rFonts w:hint="eastAsia" w:ascii="黑体" w:hAnsi="黑体" w:eastAsia="黑体" w:cs="黑体"/>
          <w:szCs w:val="32"/>
          <w:highlight w:val="none"/>
          <w:lang w:eastAsia="zh-CN"/>
        </w:rPr>
      </w:pPr>
      <w:r>
        <w:rPr>
          <w:rFonts w:hint="eastAsia" w:ascii="黑体" w:hAnsi="黑体" w:eastAsia="黑体" w:cs="黑体"/>
          <w:szCs w:val="32"/>
          <w:highlight w:val="none"/>
          <w:lang w:eastAsia="zh-CN"/>
        </w:rPr>
        <w:t>九、山梨酸及其钾盐（以山梨酸计）</w:t>
      </w:r>
    </w:p>
    <w:p>
      <w:pPr>
        <w:pStyle w:val="7"/>
        <w:widowControl/>
        <w:spacing w:beforeAutospacing="0" w:after="0" w:afterAutospacing="0" w:line="594" w:lineRule="exact"/>
        <w:ind w:firstLine="640" w:firstLineChars="200"/>
        <w:rPr>
          <w:rFonts w:hint="eastAsia" w:ascii="黑体" w:hAnsi="黑体" w:eastAsia="黑体" w:cs="黑体"/>
          <w:szCs w:val="32"/>
          <w:highlight w:val="none"/>
          <w:lang w:eastAsia="zh-CN"/>
        </w:rPr>
      </w:pPr>
      <w:r>
        <w:rPr>
          <w:rFonts w:ascii="Times New Roman" w:hAnsi="Times New Roman" w:eastAsia="仿宋_GB2312"/>
          <w:color w:val="000000"/>
          <w:sz w:val="32"/>
          <w:szCs w:val="32"/>
          <w:highlight w:val="none"/>
        </w:rPr>
        <w:t>山梨酸及其钾盐抗菌性强，防腐效果好，是目前应用非常广泛的食品防腐剂。长期食用山梨酸及其钾盐超标的食品，可能对肝脏、肾脏、骨骼生长造成危害。《食品安全国家标准</w:t>
      </w:r>
      <w:r>
        <w:rPr>
          <w:rFonts w:hint="eastAsia" w:ascii="Times New Roman" w:hAnsi="Times New Roman" w:eastAsia="仿宋_GB2312"/>
          <w:color w:val="000000"/>
          <w:sz w:val="32"/>
          <w:szCs w:val="32"/>
          <w:highlight w:val="none"/>
          <w:lang w:val="en-US" w:eastAsia="zh-CN"/>
        </w:rPr>
        <w:t xml:space="preserve"> </w:t>
      </w:r>
      <w:r>
        <w:rPr>
          <w:rFonts w:ascii="Times New Roman" w:hAnsi="Times New Roman" w:eastAsia="仿宋_GB2312"/>
          <w:color w:val="000000"/>
          <w:sz w:val="32"/>
          <w:szCs w:val="32"/>
          <w:highlight w:val="none"/>
        </w:rPr>
        <w:t>食品添加剂使用标准》（GB 2760</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2014）中规定，</w:t>
      </w:r>
      <w:r>
        <w:rPr>
          <w:rFonts w:hint="eastAsia" w:ascii="Times New Roman" w:hAnsi="Times New Roman" w:eastAsia="仿宋_GB2312"/>
          <w:sz w:val="32"/>
          <w:szCs w:val="32"/>
          <w:highlight w:val="none"/>
        </w:rPr>
        <w:t>其他谷物粉类制成品</w:t>
      </w:r>
      <w:r>
        <w:rPr>
          <w:rFonts w:ascii="Times New Roman" w:hAnsi="Times New Roman" w:eastAsia="仿宋_GB2312"/>
          <w:sz w:val="32"/>
          <w:szCs w:val="32"/>
          <w:highlight w:val="none"/>
        </w:rPr>
        <w:t>中</w:t>
      </w:r>
      <w:r>
        <w:rPr>
          <w:rFonts w:hint="eastAsia" w:ascii="Times New Roman" w:hAnsi="Times New Roman" w:eastAsia="仿宋_GB2312"/>
          <w:color w:val="000000"/>
          <w:sz w:val="32"/>
          <w:szCs w:val="32"/>
          <w:highlight w:val="none"/>
        </w:rPr>
        <w:t>不得使用</w:t>
      </w:r>
      <w:r>
        <w:rPr>
          <w:rFonts w:ascii="Times New Roman" w:hAnsi="Times New Roman" w:eastAsia="仿宋_GB2312"/>
          <w:color w:val="000000"/>
          <w:sz w:val="32"/>
          <w:szCs w:val="32"/>
          <w:highlight w:val="none"/>
        </w:rPr>
        <w:t>山梨酸及其钾盐（以山梨酸计）。</w:t>
      </w:r>
      <w:r>
        <w:rPr>
          <w:rFonts w:hint="eastAsia" w:ascii="Times New Roman" w:hAnsi="Times New Roman" w:eastAsia="仿宋_GB2312"/>
          <w:sz w:val="32"/>
          <w:szCs w:val="32"/>
          <w:highlight w:val="none"/>
        </w:rPr>
        <w:t>荞麦冷面</w:t>
      </w:r>
      <w:r>
        <w:rPr>
          <w:rFonts w:ascii="Times New Roman" w:hAnsi="Times New Roman" w:eastAsia="仿宋_GB2312"/>
          <w:sz w:val="32"/>
          <w:szCs w:val="32"/>
          <w:highlight w:val="none"/>
        </w:rPr>
        <w:t>中</w:t>
      </w:r>
      <w:r>
        <w:rPr>
          <w:rFonts w:hint="eastAsia" w:ascii="Times New Roman" w:hAnsi="Times New Roman" w:eastAsia="仿宋_GB2312"/>
          <w:color w:val="000000"/>
          <w:sz w:val="32"/>
          <w:szCs w:val="32"/>
          <w:highlight w:val="none"/>
        </w:rPr>
        <w:t>检出</w:t>
      </w:r>
      <w:r>
        <w:rPr>
          <w:rFonts w:ascii="Times New Roman" w:hAnsi="Times New Roman" w:eastAsia="仿宋_GB2312"/>
          <w:color w:val="000000"/>
          <w:sz w:val="32"/>
          <w:szCs w:val="32"/>
          <w:highlight w:val="none"/>
        </w:rPr>
        <w:t>山梨酸及其钾盐（以山梨酸计）的原因，可能是企业为</w:t>
      </w:r>
      <w:r>
        <w:rPr>
          <w:rFonts w:hint="eastAsia" w:ascii="Times New Roman" w:hAnsi="Times New Roman" w:eastAsia="仿宋_GB2312"/>
          <w:color w:val="000000"/>
          <w:sz w:val="32"/>
          <w:szCs w:val="32"/>
          <w:highlight w:val="none"/>
        </w:rPr>
        <w:t>延长</w:t>
      </w:r>
      <w:r>
        <w:rPr>
          <w:rFonts w:ascii="Times New Roman" w:hAnsi="Times New Roman" w:eastAsia="仿宋_GB2312"/>
          <w:color w:val="000000"/>
          <w:sz w:val="32"/>
          <w:szCs w:val="32"/>
          <w:highlight w:val="none"/>
        </w:rPr>
        <w:t>产品保质期</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或者弥补产品生产过程</w:t>
      </w:r>
      <w:r>
        <w:rPr>
          <w:rFonts w:hint="eastAsia" w:ascii="Times New Roman" w:hAnsi="Times New Roman" w:eastAsia="仿宋_GB2312"/>
          <w:color w:val="000000"/>
          <w:sz w:val="32"/>
          <w:szCs w:val="32"/>
          <w:highlight w:val="none"/>
        </w:rPr>
        <w:t>中</w:t>
      </w:r>
      <w:r>
        <w:rPr>
          <w:rFonts w:ascii="Times New Roman" w:hAnsi="Times New Roman" w:eastAsia="仿宋_GB2312"/>
          <w:color w:val="000000"/>
          <w:sz w:val="32"/>
          <w:szCs w:val="32"/>
          <w:highlight w:val="none"/>
        </w:rPr>
        <w:t>卫生条件不佳而</w:t>
      </w:r>
      <w:r>
        <w:rPr>
          <w:rFonts w:hint="eastAsia" w:ascii="Times New Roman" w:hAnsi="Times New Roman" w:eastAsia="仿宋_GB2312"/>
          <w:color w:val="000000"/>
          <w:sz w:val="32"/>
          <w:szCs w:val="32"/>
          <w:highlight w:val="none"/>
        </w:rPr>
        <w:t>超范围</w:t>
      </w:r>
      <w:r>
        <w:rPr>
          <w:rFonts w:ascii="Times New Roman" w:hAnsi="Times New Roman" w:eastAsia="仿宋_GB2312"/>
          <w:color w:val="000000"/>
          <w:sz w:val="32"/>
          <w:szCs w:val="32"/>
          <w:highlight w:val="none"/>
        </w:rPr>
        <w:t>使用。</w:t>
      </w:r>
    </w:p>
    <w:p>
      <w:pPr>
        <w:pStyle w:val="8"/>
        <w:numPr>
          <w:ilvl w:val="0"/>
          <w:numId w:val="0"/>
        </w:numPr>
        <w:spacing w:after="0" w:line="594" w:lineRule="exact"/>
        <w:ind w:leftChars="200" w:firstLine="320" w:firstLineChars="100"/>
        <w:rPr>
          <w:rFonts w:hint="eastAsia" w:ascii="黑体" w:hAnsi="黑体" w:eastAsia="黑体" w:cs="黑体"/>
          <w:szCs w:val="32"/>
          <w:highlight w:val="none"/>
          <w:lang w:eastAsia="zh-CN"/>
        </w:rPr>
      </w:pPr>
      <w:r>
        <w:rPr>
          <w:rFonts w:hint="eastAsia" w:ascii="黑体" w:hAnsi="黑体" w:eastAsia="黑体" w:cs="黑体"/>
          <w:szCs w:val="32"/>
          <w:highlight w:val="none"/>
          <w:lang w:eastAsia="zh-CN"/>
        </w:rPr>
        <w:t>十、脱氢乙酸及其钠盐（以脱氢乙酸计）</w:t>
      </w:r>
    </w:p>
    <w:p>
      <w:pPr>
        <w:pStyle w:val="16"/>
        <w:autoSpaceDE w:val="0"/>
        <w:spacing w:after="0" w:line="594" w:lineRule="exact"/>
        <w:ind w:firstLine="640"/>
        <w:rPr>
          <w:rFonts w:hint="eastAsia" w:ascii="黑体" w:hAnsi="黑体" w:eastAsia="黑体" w:cs="黑体"/>
          <w:szCs w:val="32"/>
          <w:highlight w:val="none"/>
          <w:lang w:eastAsia="zh-CN"/>
        </w:rPr>
      </w:pPr>
      <w:r>
        <w:rPr>
          <w:rFonts w:hint="eastAsia" w:ascii="Times New Roman" w:hAnsi="Times New Roman" w:eastAsia="仿宋_GB2312"/>
          <w:spacing w:val="0"/>
          <w:sz w:val="32"/>
          <w:szCs w:val="32"/>
          <w:highlight w:val="none"/>
        </w:rPr>
        <w:t>脱氢乙酸及其钠盐作为一种广谱食品防腐剂，对霉菌和酵母菌的抑制能力强。脱氢乙酸及其钠盐能被人体完全吸收，并能抑制人体内多种氧化酶，长期过量摄入脱氢乙酸及其钠盐会危害人体健康。</w:t>
      </w:r>
      <w:r>
        <w:rPr>
          <w:rFonts w:ascii="Times New Roman" w:hAnsi="Times New Roman" w:eastAsia="仿宋_GB2312"/>
          <w:sz w:val="32"/>
          <w:szCs w:val="32"/>
          <w:highlight w:val="none"/>
        </w:rPr>
        <w:t>《食品安全国家标准 食品添加剂使用标准》</w:t>
      </w:r>
      <w:r>
        <w:rPr>
          <w:rFonts w:hint="eastAsia" w:eastAsia="仿宋_GB2312"/>
          <w:kern w:val="0"/>
          <w:sz w:val="32"/>
          <w:szCs w:val="32"/>
          <w:highlight w:val="none"/>
        </w:rPr>
        <w:t>（</w:t>
      </w:r>
      <w:r>
        <w:rPr>
          <w:rFonts w:ascii="Times New Roman" w:hAnsi="Times New Roman" w:eastAsia="仿宋_GB2312"/>
          <w:sz w:val="32"/>
          <w:szCs w:val="32"/>
          <w:highlight w:val="none"/>
        </w:rPr>
        <w:t>GB 2760</w:t>
      </w:r>
      <w:r>
        <w:rPr>
          <w:rFonts w:hint="eastAsia" w:ascii="仿宋_GB2312" w:hAnsi="仿宋_GB2312" w:eastAsia="仿宋_GB2312" w:cs="仿宋_GB2312"/>
          <w:sz w:val="32"/>
          <w:szCs w:val="32"/>
          <w:highlight w:val="none"/>
        </w:rPr>
        <w:t>—</w:t>
      </w:r>
      <w:r>
        <w:rPr>
          <w:rFonts w:ascii="Times New Roman" w:hAnsi="Times New Roman" w:eastAsia="仿宋_GB2312"/>
          <w:sz w:val="32"/>
          <w:szCs w:val="32"/>
          <w:highlight w:val="none"/>
        </w:rPr>
        <w:t>2014）中规定，</w:t>
      </w:r>
      <w:r>
        <w:rPr>
          <w:rFonts w:hint="eastAsia" w:ascii="Times New Roman" w:hAnsi="Times New Roman" w:eastAsia="仿宋_GB2312"/>
          <w:sz w:val="32"/>
          <w:szCs w:val="32"/>
          <w:highlight w:val="none"/>
        </w:rPr>
        <w:t>其他谷物粉类制成品</w:t>
      </w:r>
      <w:r>
        <w:rPr>
          <w:rFonts w:ascii="Times New Roman" w:hAnsi="Times New Roman" w:eastAsia="仿宋_GB2312"/>
          <w:sz w:val="32"/>
          <w:szCs w:val="32"/>
          <w:highlight w:val="none"/>
        </w:rPr>
        <w:t>中</w:t>
      </w:r>
      <w:r>
        <w:rPr>
          <w:rFonts w:hint="eastAsia" w:ascii="Times New Roman" w:hAnsi="Times New Roman" w:eastAsia="仿宋_GB2312"/>
          <w:sz w:val="32"/>
          <w:szCs w:val="32"/>
          <w:highlight w:val="none"/>
        </w:rPr>
        <w:t>不允许使用</w:t>
      </w:r>
      <w:r>
        <w:rPr>
          <w:rFonts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rPr>
        <w:t>荞麦冷面</w:t>
      </w:r>
      <w:r>
        <w:rPr>
          <w:rFonts w:ascii="Times New Roman" w:hAnsi="Times New Roman" w:eastAsia="仿宋_GB2312"/>
          <w:sz w:val="32"/>
          <w:szCs w:val="32"/>
          <w:highlight w:val="none"/>
        </w:rPr>
        <w:t>中</w:t>
      </w:r>
      <w:r>
        <w:rPr>
          <w:rFonts w:hint="eastAsia" w:ascii="Times New Roman" w:hAnsi="Times New Roman" w:eastAsia="仿宋_GB2312"/>
          <w:sz w:val="32"/>
          <w:szCs w:val="32"/>
          <w:highlight w:val="none"/>
        </w:rPr>
        <w:t>检出</w:t>
      </w:r>
      <w:r>
        <w:rPr>
          <w:rFonts w:ascii="Times New Roman" w:hAnsi="Times New Roman" w:eastAsia="仿宋_GB2312"/>
          <w:sz w:val="32"/>
          <w:szCs w:val="32"/>
          <w:highlight w:val="none"/>
        </w:rPr>
        <w:t>脱氢乙酸及其钠盐</w:t>
      </w:r>
      <w:r>
        <w:rPr>
          <w:rFonts w:hint="eastAsia" w:ascii="Times New Roman" w:hAnsi="Times New Roman" w:eastAsia="仿宋_GB2312"/>
          <w:sz w:val="32"/>
          <w:szCs w:val="32"/>
          <w:highlight w:val="none"/>
        </w:rPr>
        <w:t>（以脱氢乙酸计）</w:t>
      </w:r>
      <w:r>
        <w:rPr>
          <w:rFonts w:ascii="Times New Roman" w:hAnsi="Times New Roman" w:eastAsia="仿宋_GB2312"/>
          <w:sz w:val="32"/>
          <w:szCs w:val="32"/>
          <w:highlight w:val="none"/>
        </w:rPr>
        <w:t>的原因，</w:t>
      </w:r>
      <w:r>
        <w:rPr>
          <w:rFonts w:ascii="Times New Roman" w:hAnsi="Times New Roman" w:eastAsia="仿宋_GB2312"/>
          <w:color w:val="000000"/>
          <w:sz w:val="32"/>
          <w:szCs w:val="32"/>
          <w:highlight w:val="none"/>
        </w:rPr>
        <w:t>可能是企业为</w:t>
      </w:r>
      <w:r>
        <w:rPr>
          <w:rFonts w:hint="eastAsia" w:ascii="Times New Roman" w:hAnsi="Times New Roman" w:eastAsia="仿宋_GB2312"/>
          <w:color w:val="000000"/>
          <w:sz w:val="32"/>
          <w:szCs w:val="32"/>
          <w:highlight w:val="none"/>
        </w:rPr>
        <w:t>延长</w:t>
      </w:r>
      <w:r>
        <w:rPr>
          <w:rFonts w:ascii="Times New Roman" w:hAnsi="Times New Roman" w:eastAsia="仿宋_GB2312"/>
          <w:color w:val="000000"/>
          <w:sz w:val="32"/>
          <w:szCs w:val="32"/>
          <w:highlight w:val="none"/>
        </w:rPr>
        <w:t>产品保质期</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或者弥补产品生产过程</w:t>
      </w:r>
      <w:r>
        <w:rPr>
          <w:rFonts w:hint="eastAsia" w:ascii="Times New Roman" w:hAnsi="Times New Roman" w:eastAsia="仿宋_GB2312"/>
          <w:color w:val="000000"/>
          <w:sz w:val="32"/>
          <w:szCs w:val="32"/>
          <w:highlight w:val="none"/>
        </w:rPr>
        <w:t>中</w:t>
      </w:r>
      <w:r>
        <w:rPr>
          <w:rFonts w:ascii="Times New Roman" w:hAnsi="Times New Roman" w:eastAsia="仿宋_GB2312"/>
          <w:color w:val="000000"/>
          <w:sz w:val="32"/>
          <w:szCs w:val="32"/>
          <w:highlight w:val="none"/>
        </w:rPr>
        <w:t>卫生条件不佳而</w:t>
      </w:r>
      <w:r>
        <w:rPr>
          <w:rFonts w:hint="eastAsia" w:ascii="Times New Roman" w:hAnsi="Times New Roman" w:eastAsia="仿宋_GB2312"/>
          <w:color w:val="000000"/>
          <w:sz w:val="32"/>
          <w:szCs w:val="32"/>
          <w:highlight w:val="none"/>
        </w:rPr>
        <w:t>超范围</w:t>
      </w:r>
      <w:r>
        <w:rPr>
          <w:rFonts w:ascii="Times New Roman" w:hAnsi="Times New Roman" w:eastAsia="仿宋_GB2312"/>
          <w:color w:val="000000"/>
          <w:sz w:val="32"/>
          <w:szCs w:val="32"/>
          <w:highlight w:val="none"/>
        </w:rPr>
        <w:t>使用。</w:t>
      </w:r>
    </w:p>
    <w:p>
      <w:pPr>
        <w:pStyle w:val="8"/>
        <w:numPr>
          <w:ilvl w:val="0"/>
          <w:numId w:val="0"/>
        </w:numPr>
        <w:spacing w:after="0" w:line="594" w:lineRule="exact"/>
        <w:ind w:leftChars="200" w:firstLine="320" w:firstLineChars="100"/>
        <w:rPr>
          <w:rFonts w:hint="eastAsia" w:ascii="黑体" w:hAnsi="黑体" w:eastAsia="黑体" w:cs="黑体"/>
          <w:szCs w:val="32"/>
          <w:highlight w:val="none"/>
          <w:lang w:eastAsia="zh-CN"/>
        </w:rPr>
      </w:pPr>
      <w:r>
        <w:rPr>
          <w:rFonts w:hint="eastAsia" w:ascii="黑体" w:hAnsi="黑体" w:eastAsia="黑体" w:cs="黑体"/>
          <w:szCs w:val="32"/>
          <w:highlight w:val="none"/>
          <w:lang w:eastAsia="zh-CN"/>
        </w:rPr>
        <w:t>十一、过氧化值（以脂肪计）</w:t>
      </w:r>
    </w:p>
    <w:p>
      <w:pPr>
        <w:pStyle w:val="8"/>
        <w:spacing w:after="0" w:line="594" w:lineRule="exact"/>
        <w:ind w:firstLine="640"/>
        <w:rPr>
          <w:rFonts w:ascii="Times New Roman" w:hAnsi="Times New Roman" w:eastAsia="仿宋_GB2312"/>
          <w:szCs w:val="32"/>
          <w:highlight w:val="none"/>
        </w:rPr>
      </w:pPr>
      <w:r>
        <w:rPr>
          <w:rFonts w:ascii="Times New Roman" w:hAnsi="Times New Roman" w:eastAsia="仿宋_GB2312" w:cs="Times New Roman"/>
          <w:sz w:val="32"/>
          <w:szCs w:val="32"/>
          <w:highlight w:val="none"/>
        </w:rPr>
        <w:t>过氧化值是油脂酸败的早期指标，主要反映油脂被氧化的程度。食用过氧化值超标的食品一般不会对人体健康造成损害，但长期食用过氧化值严重超标的食品可能导致肠胃不适、腹泻等。</w:t>
      </w:r>
      <w:r>
        <w:rPr>
          <w:rFonts w:hint="eastAsia" w:ascii="Times New Roman" w:hAnsi="Times New Roman" w:eastAsia="仿宋_GB2312"/>
          <w:szCs w:val="32"/>
          <w:highlight w:val="none"/>
        </w:rPr>
        <w:t>《食品安全国家标准 糕点、面包》</w:t>
      </w:r>
      <w:r>
        <w:rPr>
          <w:rFonts w:hint="eastAsia" w:eastAsia="仿宋_GB2312"/>
          <w:szCs w:val="32"/>
          <w:highlight w:val="none"/>
        </w:rPr>
        <w:t>（</w:t>
      </w:r>
      <w:r>
        <w:rPr>
          <w:rFonts w:hint="eastAsia" w:ascii="Times New Roman" w:hAnsi="Times New Roman" w:eastAsia="仿宋_GB2312"/>
          <w:szCs w:val="32"/>
          <w:highlight w:val="none"/>
        </w:rPr>
        <w:t>GB 7099</w:t>
      </w:r>
      <w:r>
        <w:rPr>
          <w:rFonts w:hint="eastAsia" w:eastAsia="仿宋_GB2312"/>
          <w:szCs w:val="32"/>
          <w:highlight w:val="none"/>
        </w:rPr>
        <w:t>—</w:t>
      </w:r>
      <w:r>
        <w:rPr>
          <w:rFonts w:hint="eastAsia" w:ascii="Times New Roman" w:hAnsi="Times New Roman" w:eastAsia="仿宋_GB2312"/>
          <w:szCs w:val="32"/>
          <w:highlight w:val="none"/>
        </w:rPr>
        <w:t>2015</w:t>
      </w:r>
      <w:r>
        <w:rPr>
          <w:rFonts w:hint="eastAsia" w:eastAsia="仿宋_GB2312"/>
          <w:szCs w:val="32"/>
          <w:highlight w:val="none"/>
        </w:rPr>
        <w:t>）</w:t>
      </w:r>
      <w:r>
        <w:rPr>
          <w:rFonts w:hint="eastAsia" w:ascii="Times New Roman" w:hAnsi="Times New Roman" w:eastAsia="仿宋_GB2312"/>
          <w:szCs w:val="32"/>
          <w:highlight w:val="none"/>
        </w:rPr>
        <w:t>中规定，糕点中过氧化值（以脂肪计</w:t>
      </w:r>
      <w:r>
        <w:rPr>
          <w:rFonts w:hint="eastAsia" w:eastAsia="仿宋_GB2312"/>
          <w:szCs w:val="32"/>
          <w:highlight w:val="none"/>
        </w:rPr>
        <w:t>）的</w:t>
      </w:r>
      <w:r>
        <w:rPr>
          <w:rFonts w:ascii="Times New Roman" w:hAnsi="Times New Roman" w:eastAsia="仿宋_GB2312"/>
          <w:szCs w:val="32"/>
          <w:highlight w:val="none"/>
        </w:rPr>
        <w:t>最大限量值为</w:t>
      </w:r>
      <w:r>
        <w:rPr>
          <w:rFonts w:hint="eastAsia" w:ascii="Times New Roman" w:hAnsi="Times New Roman" w:eastAsia="仿宋_GB2312"/>
          <w:szCs w:val="32"/>
          <w:highlight w:val="none"/>
        </w:rPr>
        <w:t>0.25g/100g。糕点中过氧化值（以脂肪计</w:t>
      </w:r>
      <w:r>
        <w:rPr>
          <w:rFonts w:hint="eastAsia" w:eastAsia="仿宋_GB2312"/>
          <w:szCs w:val="32"/>
          <w:highlight w:val="none"/>
        </w:rPr>
        <w:t>）</w:t>
      </w:r>
      <w:r>
        <w:rPr>
          <w:rFonts w:hint="eastAsia" w:ascii="Times New Roman" w:hAnsi="Times New Roman" w:eastAsia="仿宋_GB2312"/>
          <w:szCs w:val="32"/>
          <w:highlight w:val="none"/>
        </w:rPr>
        <w:t>检测值超出标准值</w:t>
      </w:r>
      <w:bookmarkStart w:id="1" w:name="_GoBack"/>
      <w:bookmarkEnd w:id="1"/>
      <w:r>
        <w:rPr>
          <w:rFonts w:hint="eastAsia" w:ascii="Times New Roman" w:hAnsi="Times New Roman" w:eastAsia="仿宋_GB2312"/>
          <w:szCs w:val="32"/>
          <w:highlight w:val="none"/>
        </w:rPr>
        <w:t>的原因，可能是原料中的脂肪已经被氧化，也可能与产品在储运过程中环境条件控制不当等有关。</w:t>
      </w:r>
    </w:p>
    <w:p>
      <w:pPr>
        <w:keepNext w:val="0"/>
        <w:keepLines w:val="0"/>
        <w:pageBreakBefore w:val="0"/>
        <w:kinsoku/>
        <w:wordWrap/>
        <w:overflowPunct/>
        <w:topLinePunct w:val="0"/>
        <w:autoSpaceDN/>
        <w:bidi w:val="0"/>
        <w:spacing w:line="596" w:lineRule="exact"/>
        <w:ind w:firstLine="640" w:firstLineChars="200"/>
        <w:textAlignment w:val="auto"/>
        <w:outlineLvl w:val="9"/>
        <w:rPr>
          <w:rFonts w:eastAsia="黑体"/>
          <w:sz w:val="32"/>
          <w:szCs w:val="32"/>
        </w:rPr>
      </w:pPr>
      <w:r>
        <w:rPr>
          <w:rFonts w:hint="eastAsia" w:ascii="Times New Roman" w:hAnsi="Times New Roman" w:eastAsia="黑体"/>
          <w:sz w:val="32"/>
          <w:szCs w:val="32"/>
          <w:lang w:eastAsia="zh-CN"/>
        </w:rPr>
        <w:t>十二</w:t>
      </w:r>
      <w:r>
        <w:rPr>
          <w:rFonts w:hint="eastAsia" w:ascii="Times New Roman" w:hAnsi="Times New Roman" w:eastAsia="黑体"/>
          <w:sz w:val="32"/>
          <w:szCs w:val="32"/>
        </w:rPr>
        <w:t>、</w:t>
      </w:r>
      <w:r>
        <w:rPr>
          <w:rFonts w:ascii="Times New Roman" w:hAnsi="Times New Roman" w:eastAsia="黑体"/>
          <w:sz w:val="32"/>
          <w:szCs w:val="32"/>
        </w:rPr>
        <w:t>蛋白质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仿宋_GB2312"/>
          <w:sz w:val="32"/>
          <w:szCs w:val="32"/>
        </w:rPr>
      </w:pPr>
      <w:r>
        <w:rPr>
          <w:rFonts w:hint="default" w:ascii="Times New Roman" w:hAnsi="Times New Roman" w:eastAsia="仿宋_GB2312" w:cs="Times New Roman"/>
          <w:sz w:val="32"/>
          <w:szCs w:val="32"/>
          <w:lang w:val="en-US" w:eastAsia="zh-CN"/>
        </w:rPr>
        <w:t>蛋白质是由氨基酸以肽键连接在一起，并形成一定空间结构的高分子有机化合物。蛋白质是构成机体组织、器官的重要成分，是构成机体多种重要生理活性物质的成分，还能供给能量。</w:t>
      </w:r>
      <w:r>
        <w:rPr>
          <w:rFonts w:hint="default" w:ascii="Times New Roman" w:hAnsi="Times New Roman" w:eastAsia="仿宋_GB2312" w:cs="Times New Roman"/>
          <w:color w:val="auto"/>
          <w:sz w:val="32"/>
          <w:szCs w:val="32"/>
          <w:lang w:val="en-US" w:eastAsia="zh-CN"/>
        </w:rPr>
        <w:t>《食品安全国家标准 调制乳》（GB 25191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2010）中规定，调制乳</w:t>
      </w:r>
      <w:bookmarkStart w:id="0" w:name="OLE_LINK1"/>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蛋白质</w:t>
      </w:r>
      <w:r>
        <w:rPr>
          <w:rFonts w:hint="eastAsia" w:ascii="Times New Roman" w:hAnsi="Times New Roman" w:eastAsia="仿宋_GB2312" w:cs="Times New Roman"/>
          <w:color w:val="auto"/>
          <w:sz w:val="32"/>
          <w:szCs w:val="32"/>
          <w:lang w:val="en-US" w:eastAsia="zh-CN"/>
        </w:rPr>
        <w:t>含量</w:t>
      </w:r>
      <w:r>
        <w:rPr>
          <w:rFonts w:hint="default" w:ascii="Times New Roman" w:hAnsi="Times New Roman" w:eastAsia="仿宋_GB2312" w:cs="Times New Roman"/>
          <w:color w:val="auto"/>
          <w:sz w:val="32"/>
          <w:szCs w:val="32"/>
          <w:lang w:val="en-US" w:eastAsia="zh-CN"/>
        </w:rPr>
        <w:t>应</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2.3 g/100g</w:t>
      </w:r>
      <w:r>
        <w:rPr>
          <w:rFonts w:hint="eastAsia" w:ascii="Times New Roman" w:hAnsi="Times New Roman" w:eastAsia="仿宋_GB2312" w:cs="Times New Roman"/>
          <w:color w:val="auto"/>
          <w:sz w:val="32"/>
          <w:szCs w:val="32"/>
          <w:lang w:val="en-US" w:eastAsia="zh-CN"/>
        </w:rPr>
        <w:t>，且该产品</w:t>
      </w:r>
      <w:r>
        <w:rPr>
          <w:rFonts w:hint="eastAsia" w:ascii="Times New Roman" w:hAnsi="Times New Roman" w:eastAsia="仿宋_GB2312" w:cs="Times New Roman"/>
          <w:sz w:val="32"/>
          <w:szCs w:val="32"/>
          <w:lang w:val="en-US" w:eastAsia="zh-CN"/>
        </w:rPr>
        <w:t>外</w:t>
      </w:r>
      <w:r>
        <w:rPr>
          <w:rFonts w:hint="default" w:ascii="Times New Roman" w:hAnsi="Times New Roman" w:eastAsia="仿宋_GB2312" w:cs="Times New Roman"/>
          <w:sz w:val="32"/>
          <w:szCs w:val="32"/>
          <w:lang w:val="en-US" w:eastAsia="zh-CN"/>
        </w:rPr>
        <w:t>包装</w:t>
      </w:r>
      <w:r>
        <w:rPr>
          <w:rFonts w:hint="default" w:ascii="Times New Roman" w:hAnsi="Times New Roman" w:eastAsia="仿宋_GB2312" w:cs="Times New Roman"/>
          <w:kern w:val="0"/>
          <w:sz w:val="32"/>
          <w:szCs w:val="32"/>
          <w:lang w:val="en-US" w:eastAsia="zh-CN"/>
        </w:rPr>
        <w:t>标签明示“</w:t>
      </w:r>
      <w:r>
        <w:rPr>
          <w:rFonts w:hint="eastAsia" w:ascii="Times New Roman" w:hAnsi="Times New Roman" w:eastAsia="仿宋_GB2312" w:cs="Times New Roman"/>
          <w:kern w:val="0"/>
          <w:sz w:val="32"/>
          <w:szCs w:val="32"/>
          <w:lang w:val="en-US" w:eastAsia="zh-CN"/>
        </w:rPr>
        <w:t>优质乳蛋白≥</w:t>
      </w:r>
      <w:r>
        <w:rPr>
          <w:rFonts w:hint="default" w:ascii="Times New Roman" w:hAnsi="Times New Roman" w:eastAsia="仿宋_GB2312" w:cs="Times New Roman"/>
          <w:kern w:val="0"/>
          <w:sz w:val="32"/>
          <w:szCs w:val="32"/>
          <w:lang w:val="en-US" w:eastAsia="zh-CN"/>
        </w:rPr>
        <w:t>3.7g/100mL”</w:t>
      </w:r>
      <w:r>
        <w:rPr>
          <w:rFonts w:hint="eastAsia" w:ascii="Times New Roman" w:hAnsi="Times New Roman" w:eastAsia="仿宋_GB2312" w:cs="Times New Roman"/>
          <w:color w:val="auto"/>
          <w:sz w:val="32"/>
          <w:szCs w:val="32"/>
          <w:lang w:val="en-US" w:eastAsia="zh-CN"/>
        </w:rPr>
        <w:t>，检测</w:t>
      </w:r>
      <w:r>
        <w:rPr>
          <w:rFonts w:hint="eastAsia" w:eastAsia="仿宋_GB2312" w:cs="Times New Roman"/>
          <w:color w:val="auto"/>
          <w:sz w:val="32"/>
          <w:szCs w:val="32"/>
          <w:lang w:val="en-US" w:eastAsia="zh-CN"/>
        </w:rPr>
        <w:t>结果单位换算后，</w:t>
      </w:r>
      <w:r>
        <w:rPr>
          <w:rFonts w:hint="eastAsia"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kern w:val="0"/>
          <w:sz w:val="32"/>
          <w:szCs w:val="32"/>
          <w:lang w:val="en-US" w:eastAsia="zh-CN"/>
        </w:rPr>
        <w:t>批次产品中蛋白质</w:t>
      </w:r>
      <w:r>
        <w:rPr>
          <w:rFonts w:hint="eastAsia" w:ascii="Times New Roman" w:hAnsi="Times New Roman" w:eastAsia="仿宋_GB2312" w:cs="Times New Roman"/>
          <w:kern w:val="0"/>
          <w:sz w:val="32"/>
          <w:szCs w:val="32"/>
          <w:lang w:val="en-US" w:eastAsia="zh-CN"/>
        </w:rPr>
        <w:t>的检测值</w:t>
      </w:r>
      <w:r>
        <w:rPr>
          <w:rFonts w:hint="default" w:ascii="Times New Roman" w:hAnsi="Times New Roman" w:eastAsia="仿宋_GB2312" w:cs="Times New Roman"/>
          <w:kern w:val="0"/>
          <w:sz w:val="32"/>
          <w:szCs w:val="32"/>
          <w:lang w:val="en-US" w:eastAsia="zh-CN"/>
        </w:rPr>
        <w:t>符合</w:t>
      </w:r>
      <w:r>
        <w:rPr>
          <w:rFonts w:hint="default" w:ascii="Times New Roman" w:hAnsi="Times New Roman" w:eastAsia="仿宋_GB2312" w:cs="Times New Roman"/>
          <w:sz w:val="32"/>
          <w:szCs w:val="32"/>
        </w:rPr>
        <w:t>食品安全国家标准规定，</w:t>
      </w:r>
      <w:r>
        <w:rPr>
          <w:rFonts w:hint="eastAsia" w:ascii="Times New Roman" w:hAnsi="Times New Roman" w:eastAsia="仿宋_GB2312" w:cs="Times New Roman"/>
          <w:kern w:val="0"/>
          <w:sz w:val="32"/>
          <w:szCs w:val="32"/>
          <w:lang w:val="en-US" w:eastAsia="zh-CN"/>
        </w:rPr>
        <w:t>但</w:t>
      </w:r>
      <w:r>
        <w:rPr>
          <w:rFonts w:hint="default" w:ascii="Times New Roman" w:hAnsi="Times New Roman" w:eastAsia="仿宋_GB2312" w:cs="Times New Roman"/>
          <w:kern w:val="0"/>
          <w:sz w:val="32"/>
          <w:szCs w:val="32"/>
          <w:lang w:val="en-US" w:eastAsia="zh-CN"/>
        </w:rPr>
        <w:t>不符合</w:t>
      </w:r>
      <w:r>
        <w:rPr>
          <w:rFonts w:hint="default" w:ascii="Times New Roman" w:hAnsi="Times New Roman" w:eastAsia="仿宋_GB2312" w:cs="Times New Roman"/>
          <w:kern w:val="0"/>
          <w:sz w:val="32"/>
          <w:szCs w:val="32"/>
          <w:highlight w:val="none"/>
          <w:lang w:val="en-US" w:eastAsia="zh-CN"/>
        </w:rPr>
        <w:t>产品明示质量要求</w:t>
      </w:r>
      <w:r>
        <w:rPr>
          <w:rFonts w:hint="default" w:ascii="Times New Roman" w:hAnsi="Times New Roman" w:eastAsia="仿宋_GB2312" w:cs="Times New Roman"/>
          <w:kern w:val="0"/>
          <w:sz w:val="32"/>
          <w:szCs w:val="32"/>
          <w:lang w:val="en-US" w:eastAsia="zh-CN"/>
        </w:rPr>
        <w:t>。</w:t>
      </w:r>
      <w:bookmarkEnd w:id="0"/>
      <w:r>
        <w:rPr>
          <w:rFonts w:hint="eastAsia" w:ascii="Times New Roman" w:hAnsi="Times New Roman" w:eastAsia="仿宋_GB2312" w:cs="Times New Roman"/>
          <w:kern w:val="2"/>
          <w:sz w:val="32"/>
          <w:szCs w:val="32"/>
          <w:lang w:val="en-US" w:eastAsia="zh-CN" w:bidi="ar-SA"/>
        </w:rPr>
        <w:t>乳制品中蛋白质含量不达标的原因，可能是原辅料质量控制不严，也可能是企业未按标签明示值或企业标准的要求</w:t>
      </w:r>
      <w:r>
        <w:rPr>
          <w:rFonts w:hint="eastAsia" w:eastAsia="仿宋_GB2312" w:cs="Times New Roman"/>
          <w:kern w:val="2"/>
          <w:sz w:val="32"/>
          <w:szCs w:val="32"/>
          <w:lang w:val="en-US" w:eastAsia="zh-CN" w:bidi="ar-SA"/>
        </w:rPr>
        <w:t>组织生产</w:t>
      </w:r>
      <w:r>
        <w:rPr>
          <w:rFonts w:hint="eastAsia" w:ascii="Times New Roman" w:hAnsi="Times New Roman" w:eastAsia="仿宋_GB2312" w:cs="Times New Roman"/>
          <w:kern w:val="2"/>
          <w:sz w:val="32"/>
          <w:szCs w:val="32"/>
          <w:lang w:val="en-US" w:eastAsia="zh-CN" w:bidi="ar-SA"/>
        </w:rPr>
        <w:t>。</w:t>
      </w:r>
    </w:p>
    <w:p>
      <w:pPr>
        <w:pStyle w:val="8"/>
        <w:numPr>
          <w:ilvl w:val="0"/>
          <w:numId w:val="0"/>
        </w:numPr>
        <w:spacing w:after="0" w:line="594" w:lineRule="exact"/>
        <w:ind w:leftChars="200" w:firstLine="0" w:firstLineChars="0"/>
        <w:rPr>
          <w:rFonts w:hint="eastAsia" w:ascii="黑体" w:hAnsi="黑体" w:eastAsia="黑体" w:cs="黑体"/>
          <w:szCs w:val="32"/>
          <w:highlight w:val="none"/>
          <w:lang w:eastAsia="zh-C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4</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51627"/>
    <w:multiLevelType w:val="singleLevel"/>
    <w:tmpl w:val="22A516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revisionView w:markup="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52446EE"/>
    <w:rsid w:val="00020497"/>
    <w:rsid w:val="00024C6D"/>
    <w:rsid w:val="00043432"/>
    <w:rsid w:val="00043867"/>
    <w:rsid w:val="000459CD"/>
    <w:rsid w:val="00083C9A"/>
    <w:rsid w:val="000A1FB4"/>
    <w:rsid w:val="000B4026"/>
    <w:rsid w:val="000B4DAD"/>
    <w:rsid w:val="000C502F"/>
    <w:rsid w:val="000C6083"/>
    <w:rsid w:val="000D1C58"/>
    <w:rsid w:val="000D34F7"/>
    <w:rsid w:val="000F7117"/>
    <w:rsid w:val="0010216A"/>
    <w:rsid w:val="00107958"/>
    <w:rsid w:val="00110259"/>
    <w:rsid w:val="001220AD"/>
    <w:rsid w:val="00131A76"/>
    <w:rsid w:val="0013226B"/>
    <w:rsid w:val="0015275C"/>
    <w:rsid w:val="001727C1"/>
    <w:rsid w:val="00177381"/>
    <w:rsid w:val="0019592F"/>
    <w:rsid w:val="001C1A51"/>
    <w:rsid w:val="001D168E"/>
    <w:rsid w:val="001D3191"/>
    <w:rsid w:val="001E3878"/>
    <w:rsid w:val="001E40B2"/>
    <w:rsid w:val="001F4428"/>
    <w:rsid w:val="001F5BDC"/>
    <w:rsid w:val="0024004A"/>
    <w:rsid w:val="00242E9A"/>
    <w:rsid w:val="00244971"/>
    <w:rsid w:val="0025796E"/>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33D1D"/>
    <w:rsid w:val="005557BE"/>
    <w:rsid w:val="00560DD5"/>
    <w:rsid w:val="005A1446"/>
    <w:rsid w:val="005B036E"/>
    <w:rsid w:val="005C72E8"/>
    <w:rsid w:val="005E1899"/>
    <w:rsid w:val="005E36FE"/>
    <w:rsid w:val="005F4FE7"/>
    <w:rsid w:val="006000A5"/>
    <w:rsid w:val="00601F5C"/>
    <w:rsid w:val="0062795C"/>
    <w:rsid w:val="006417C9"/>
    <w:rsid w:val="00674436"/>
    <w:rsid w:val="00681D0D"/>
    <w:rsid w:val="00687989"/>
    <w:rsid w:val="006E2F89"/>
    <w:rsid w:val="006F0D6D"/>
    <w:rsid w:val="006F22C8"/>
    <w:rsid w:val="006F3B40"/>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1C27"/>
    <w:rsid w:val="009941B3"/>
    <w:rsid w:val="009D2294"/>
    <w:rsid w:val="009D56C5"/>
    <w:rsid w:val="009E2E64"/>
    <w:rsid w:val="009F42E5"/>
    <w:rsid w:val="009F75A8"/>
    <w:rsid w:val="00A0189E"/>
    <w:rsid w:val="00A12057"/>
    <w:rsid w:val="00A655ED"/>
    <w:rsid w:val="00A72D59"/>
    <w:rsid w:val="00A819D9"/>
    <w:rsid w:val="00A8639F"/>
    <w:rsid w:val="00AE2978"/>
    <w:rsid w:val="00AE4163"/>
    <w:rsid w:val="00AE443A"/>
    <w:rsid w:val="00B02836"/>
    <w:rsid w:val="00B17403"/>
    <w:rsid w:val="00B26756"/>
    <w:rsid w:val="00B30079"/>
    <w:rsid w:val="00B342D4"/>
    <w:rsid w:val="00B46A7C"/>
    <w:rsid w:val="00B56A64"/>
    <w:rsid w:val="00B734B6"/>
    <w:rsid w:val="00B82BD1"/>
    <w:rsid w:val="00B83167"/>
    <w:rsid w:val="00BA50EB"/>
    <w:rsid w:val="00C05D47"/>
    <w:rsid w:val="00C10FA4"/>
    <w:rsid w:val="00C22080"/>
    <w:rsid w:val="00C277F9"/>
    <w:rsid w:val="00C425FB"/>
    <w:rsid w:val="00C47869"/>
    <w:rsid w:val="00C52899"/>
    <w:rsid w:val="00C53768"/>
    <w:rsid w:val="00C82E32"/>
    <w:rsid w:val="00C95DA4"/>
    <w:rsid w:val="00CD2658"/>
    <w:rsid w:val="00CD5EC3"/>
    <w:rsid w:val="00CE26B0"/>
    <w:rsid w:val="00CE296E"/>
    <w:rsid w:val="00D026A1"/>
    <w:rsid w:val="00D02ED8"/>
    <w:rsid w:val="00D172AA"/>
    <w:rsid w:val="00D17FA8"/>
    <w:rsid w:val="00D221B8"/>
    <w:rsid w:val="00D407AC"/>
    <w:rsid w:val="00D44653"/>
    <w:rsid w:val="00D550F5"/>
    <w:rsid w:val="00D716C1"/>
    <w:rsid w:val="00D75D39"/>
    <w:rsid w:val="00D940B0"/>
    <w:rsid w:val="00DB0F7D"/>
    <w:rsid w:val="00DB3515"/>
    <w:rsid w:val="00DB7633"/>
    <w:rsid w:val="00DB7982"/>
    <w:rsid w:val="00DC4018"/>
    <w:rsid w:val="00DD03EA"/>
    <w:rsid w:val="00DD59C8"/>
    <w:rsid w:val="00DD7C24"/>
    <w:rsid w:val="00E01EB3"/>
    <w:rsid w:val="00E055BE"/>
    <w:rsid w:val="00E07B1F"/>
    <w:rsid w:val="00E16D89"/>
    <w:rsid w:val="00E45266"/>
    <w:rsid w:val="00E5453C"/>
    <w:rsid w:val="00E651D8"/>
    <w:rsid w:val="00E66BDB"/>
    <w:rsid w:val="00E721EF"/>
    <w:rsid w:val="00E73511"/>
    <w:rsid w:val="00E81D4E"/>
    <w:rsid w:val="00E90919"/>
    <w:rsid w:val="00EA2C6D"/>
    <w:rsid w:val="00EB1898"/>
    <w:rsid w:val="00EB2DC4"/>
    <w:rsid w:val="00ED0033"/>
    <w:rsid w:val="00EE4D2C"/>
    <w:rsid w:val="00EF6290"/>
    <w:rsid w:val="00F009DD"/>
    <w:rsid w:val="00F10843"/>
    <w:rsid w:val="00F129A7"/>
    <w:rsid w:val="00F1663E"/>
    <w:rsid w:val="00F407C3"/>
    <w:rsid w:val="00F502BA"/>
    <w:rsid w:val="00F73C8B"/>
    <w:rsid w:val="00F748C1"/>
    <w:rsid w:val="00F84AAD"/>
    <w:rsid w:val="00F935EF"/>
    <w:rsid w:val="00F94FE6"/>
    <w:rsid w:val="00FA2106"/>
    <w:rsid w:val="00FA4809"/>
    <w:rsid w:val="00FB1217"/>
    <w:rsid w:val="00FB53DF"/>
    <w:rsid w:val="00FB60C0"/>
    <w:rsid w:val="028D1A14"/>
    <w:rsid w:val="03A414C8"/>
    <w:rsid w:val="043132CE"/>
    <w:rsid w:val="04B16515"/>
    <w:rsid w:val="052446EE"/>
    <w:rsid w:val="05462D97"/>
    <w:rsid w:val="0722265B"/>
    <w:rsid w:val="07A30962"/>
    <w:rsid w:val="0AAD48BF"/>
    <w:rsid w:val="0B437A81"/>
    <w:rsid w:val="0C2D133B"/>
    <w:rsid w:val="0E092D0B"/>
    <w:rsid w:val="0EC81837"/>
    <w:rsid w:val="0F5238B5"/>
    <w:rsid w:val="0FEB509E"/>
    <w:rsid w:val="103364D3"/>
    <w:rsid w:val="108233AD"/>
    <w:rsid w:val="10A511DC"/>
    <w:rsid w:val="10F93D79"/>
    <w:rsid w:val="111C434C"/>
    <w:rsid w:val="12076629"/>
    <w:rsid w:val="12FD4DF0"/>
    <w:rsid w:val="133001AE"/>
    <w:rsid w:val="134D526F"/>
    <w:rsid w:val="160A5910"/>
    <w:rsid w:val="178C1298"/>
    <w:rsid w:val="19977A4A"/>
    <w:rsid w:val="1A907481"/>
    <w:rsid w:val="1B3D7278"/>
    <w:rsid w:val="1D6C2FCD"/>
    <w:rsid w:val="1E0B5C9C"/>
    <w:rsid w:val="1FF5604A"/>
    <w:rsid w:val="2059449C"/>
    <w:rsid w:val="20BC665B"/>
    <w:rsid w:val="20C11697"/>
    <w:rsid w:val="21372698"/>
    <w:rsid w:val="22E67475"/>
    <w:rsid w:val="247A6FAA"/>
    <w:rsid w:val="249D47DC"/>
    <w:rsid w:val="259E23E3"/>
    <w:rsid w:val="269D741C"/>
    <w:rsid w:val="26B20B3B"/>
    <w:rsid w:val="26E87184"/>
    <w:rsid w:val="27584E00"/>
    <w:rsid w:val="294A7F7D"/>
    <w:rsid w:val="29F8276D"/>
    <w:rsid w:val="29FB7D70"/>
    <w:rsid w:val="2A53594F"/>
    <w:rsid w:val="2ABF7615"/>
    <w:rsid w:val="2AEB7548"/>
    <w:rsid w:val="2CE70F66"/>
    <w:rsid w:val="2E4243E1"/>
    <w:rsid w:val="2F9B35E3"/>
    <w:rsid w:val="2FDD066F"/>
    <w:rsid w:val="30730D18"/>
    <w:rsid w:val="308001C6"/>
    <w:rsid w:val="30E739A4"/>
    <w:rsid w:val="31252E3F"/>
    <w:rsid w:val="31FD11FC"/>
    <w:rsid w:val="34DB4439"/>
    <w:rsid w:val="34F97B15"/>
    <w:rsid w:val="36256509"/>
    <w:rsid w:val="36AD5E36"/>
    <w:rsid w:val="36BB4D35"/>
    <w:rsid w:val="39262D88"/>
    <w:rsid w:val="39673EBA"/>
    <w:rsid w:val="3A4A0926"/>
    <w:rsid w:val="3C2512EE"/>
    <w:rsid w:val="3C4B12A5"/>
    <w:rsid w:val="3C4D2E8B"/>
    <w:rsid w:val="3C81270D"/>
    <w:rsid w:val="3ED05834"/>
    <w:rsid w:val="3EF229BA"/>
    <w:rsid w:val="408B4949"/>
    <w:rsid w:val="4236267D"/>
    <w:rsid w:val="42BC2694"/>
    <w:rsid w:val="446510A3"/>
    <w:rsid w:val="44921DE2"/>
    <w:rsid w:val="45562D9B"/>
    <w:rsid w:val="463A646A"/>
    <w:rsid w:val="46CC3297"/>
    <w:rsid w:val="471E6356"/>
    <w:rsid w:val="473ED1D3"/>
    <w:rsid w:val="48CD06B6"/>
    <w:rsid w:val="48D63B60"/>
    <w:rsid w:val="495138DA"/>
    <w:rsid w:val="49B00079"/>
    <w:rsid w:val="49D57EE1"/>
    <w:rsid w:val="4ADC5E51"/>
    <w:rsid w:val="4C544655"/>
    <w:rsid w:val="4C95329C"/>
    <w:rsid w:val="4CA036CC"/>
    <w:rsid w:val="4CB7255F"/>
    <w:rsid w:val="4D2968B7"/>
    <w:rsid w:val="4D5B1BD1"/>
    <w:rsid w:val="4D96357F"/>
    <w:rsid w:val="4ED53EED"/>
    <w:rsid w:val="4EFB0F58"/>
    <w:rsid w:val="4F69410F"/>
    <w:rsid w:val="514C2084"/>
    <w:rsid w:val="51B43769"/>
    <w:rsid w:val="51BC1E2A"/>
    <w:rsid w:val="52FD335B"/>
    <w:rsid w:val="54544D6D"/>
    <w:rsid w:val="56A276D0"/>
    <w:rsid w:val="57B03788"/>
    <w:rsid w:val="5917309A"/>
    <w:rsid w:val="592526F4"/>
    <w:rsid w:val="59D04F91"/>
    <w:rsid w:val="5B035A3A"/>
    <w:rsid w:val="5BE41C7F"/>
    <w:rsid w:val="5C435B8D"/>
    <w:rsid w:val="5D3C5BA5"/>
    <w:rsid w:val="5DA1645E"/>
    <w:rsid w:val="5E38554B"/>
    <w:rsid w:val="5E5431CD"/>
    <w:rsid w:val="63213BB4"/>
    <w:rsid w:val="63BA5678"/>
    <w:rsid w:val="64165519"/>
    <w:rsid w:val="64CE046B"/>
    <w:rsid w:val="64D82E8B"/>
    <w:rsid w:val="676770CE"/>
    <w:rsid w:val="679E2A0F"/>
    <w:rsid w:val="6BC54056"/>
    <w:rsid w:val="6C8F263F"/>
    <w:rsid w:val="6E0D279D"/>
    <w:rsid w:val="71052DB8"/>
    <w:rsid w:val="71346E5A"/>
    <w:rsid w:val="728D7A35"/>
    <w:rsid w:val="735D6752"/>
    <w:rsid w:val="743531C2"/>
    <w:rsid w:val="743B3E91"/>
    <w:rsid w:val="74631C62"/>
    <w:rsid w:val="751C7E3C"/>
    <w:rsid w:val="75A22D1B"/>
    <w:rsid w:val="77DD70DB"/>
    <w:rsid w:val="78FB4BB6"/>
    <w:rsid w:val="7A7226AF"/>
    <w:rsid w:val="7B0C1162"/>
    <w:rsid w:val="7B344CA7"/>
    <w:rsid w:val="7BAF49F6"/>
    <w:rsid w:val="7C3B5127"/>
    <w:rsid w:val="7D9B6771"/>
    <w:rsid w:val="7F056143"/>
    <w:rsid w:val="7F362E0C"/>
    <w:rsid w:val="7F3A6B56"/>
    <w:rsid w:val="7F7F5721"/>
    <w:rsid w:val="7FBE329C"/>
    <w:rsid w:val="FFCDA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Indent"/>
    <w:basedOn w:val="1"/>
    <w:link w:val="11"/>
    <w:qFormat/>
    <w:uiPriority w:val="0"/>
    <w:pPr>
      <w:spacing w:after="120"/>
      <w:ind w:left="420" w:leftChars="200"/>
    </w:p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Body Text First Indent 2"/>
    <w:basedOn w:val="3"/>
    <w:link w:val="12"/>
    <w:qFormat/>
    <w:uiPriority w:val="0"/>
    <w:pPr>
      <w:adjustRightInd w:val="0"/>
      <w:ind w:left="0" w:leftChars="0" w:firstLine="880" w:firstLineChars="200"/>
    </w:pPr>
    <w:rPr>
      <w:rFonts w:ascii="Calibri" w:hAnsi="Calibri" w:eastAsia="仿宋" w:cs="Times New Roman"/>
      <w:sz w:val="32"/>
    </w:rPr>
  </w:style>
  <w:style w:type="character" w:customStyle="1" w:styleId="11">
    <w:name w:val="正文文本缩进 字符"/>
    <w:basedOn w:val="10"/>
    <w:link w:val="3"/>
    <w:qFormat/>
    <w:uiPriority w:val="0"/>
    <w:rPr>
      <w:rFonts w:ascii="Calibri" w:hAnsi="Calibri" w:eastAsia="宋体" w:cs="Times New Roman"/>
      <w:kern w:val="2"/>
      <w:sz w:val="21"/>
      <w:szCs w:val="22"/>
    </w:rPr>
  </w:style>
  <w:style w:type="character" w:customStyle="1" w:styleId="12">
    <w:name w:val="正文文本首行缩进 2 字符"/>
    <w:basedOn w:val="11"/>
    <w:link w:val="8"/>
    <w:qFormat/>
    <w:uiPriority w:val="0"/>
    <w:rPr>
      <w:rFonts w:ascii="Calibri" w:hAnsi="Calibri" w:eastAsia="仿宋" w:cs="Times New Roman"/>
      <w:kern w:val="2"/>
      <w:sz w:val="32"/>
      <w:szCs w:val="22"/>
    </w:rPr>
  </w:style>
  <w:style w:type="character" w:customStyle="1" w:styleId="13">
    <w:name w:val="批注框文本 字符"/>
    <w:basedOn w:val="10"/>
    <w:link w:val="4"/>
    <w:qFormat/>
    <w:uiPriority w:val="0"/>
    <w:rPr>
      <w:rFonts w:ascii="Calibri" w:hAnsi="Calibri" w:eastAsia="宋体" w:cs="Times New Roman"/>
      <w:kern w:val="2"/>
      <w:sz w:val="18"/>
      <w:szCs w:val="18"/>
    </w:rPr>
  </w:style>
  <w:style w:type="character" w:customStyle="1" w:styleId="14">
    <w:name w:val="页脚 字符"/>
    <w:basedOn w:val="10"/>
    <w:link w:val="5"/>
    <w:qFormat/>
    <w:uiPriority w:val="99"/>
    <w:rPr>
      <w:rFonts w:ascii="Calibri" w:hAnsi="Calibri" w:eastAsia="宋体" w:cs="Times New Roman"/>
      <w:kern w:val="2"/>
      <w:sz w:val="18"/>
      <w:szCs w:val="18"/>
    </w:rPr>
  </w:style>
  <w:style w:type="character" w:customStyle="1" w:styleId="15">
    <w:name w:val="页眉 字符"/>
    <w:basedOn w:val="10"/>
    <w:link w:val="6"/>
    <w:qFormat/>
    <w:uiPriority w:val="0"/>
    <w:rPr>
      <w:rFonts w:ascii="Calibri" w:hAnsi="Calibri" w:eastAsia="宋体" w:cs="Times New Roman"/>
      <w:kern w:val="2"/>
      <w:sz w:val="18"/>
      <w:szCs w:val="18"/>
    </w:rPr>
  </w:style>
  <w:style w:type="paragraph" w:customStyle="1" w:styleId="16">
    <w:name w:val="列出段落2"/>
    <w:basedOn w:val="1"/>
    <w:qFormat/>
    <w:uiPriority w:val="34"/>
    <w:pPr>
      <w:ind w:firstLine="420" w:firstLineChars="200"/>
    </w:p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1128</Words>
  <Characters>1174</Characters>
  <Lines>130</Lines>
  <Paragraphs>121</Paragraphs>
  <TotalTime>24</TotalTime>
  <ScaleCrop>false</ScaleCrop>
  <LinksUpToDate>false</LinksUpToDate>
  <CharactersWithSpaces>2181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2022-01-11T20:14:00Z</dcterms:created>
  <dc:creator>ywk-rx</dc:creator>
  <cp:lastModifiedBy>oa</cp:lastModifiedBy>
  <cp:lastPrinted>2022-03-25T01:03:00Z</cp:lastPrinted>
  <dcterms:modified xsi:type="dcterms:W3CDTF">2022-03-25T09:19:53Z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D24194D9B8E64A5DBB0672D430152856</vt:lpwstr>
  </property>
</Properties>
</file>